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6CFDD" w14:textId="42A0DD30" w:rsidR="0078126D" w:rsidRPr="00BB6245" w:rsidRDefault="0078126D" w:rsidP="0078126D">
      <w:pPr>
        <w:spacing w:after="0" w:line="240" w:lineRule="auto"/>
        <w:ind w:right="284"/>
        <w:jc w:val="both"/>
        <w:rPr>
          <w:rFonts w:ascii="Century Gothic" w:eastAsia="Calibri" w:hAnsi="Century Gothic" w:cs="Arial"/>
          <w:b/>
          <w:sz w:val="24"/>
          <w:szCs w:val="24"/>
          <w:lang w:eastAsia="es-MX"/>
        </w:rPr>
      </w:pPr>
      <w:r w:rsidRPr="00BB6245">
        <w:rPr>
          <w:rFonts w:ascii="Century Gothic" w:eastAsia="Calibri" w:hAnsi="Century Gothic" w:cs="Arial"/>
          <w:b/>
          <w:sz w:val="24"/>
          <w:szCs w:val="24"/>
          <w:lang w:eastAsia="es-MX"/>
        </w:rPr>
        <w:t xml:space="preserve">DIP. </w:t>
      </w:r>
      <w:r w:rsidR="007D2647" w:rsidRPr="00BB6245">
        <w:rPr>
          <w:rFonts w:ascii="Century Gothic" w:eastAsia="Calibri" w:hAnsi="Century Gothic" w:cs="Arial"/>
          <w:b/>
          <w:sz w:val="24"/>
          <w:szCs w:val="24"/>
          <w:lang w:eastAsia="es-MX"/>
        </w:rPr>
        <w:t>ERIK JOSÉ RIHANI GONZÁLEZ</w:t>
      </w:r>
    </w:p>
    <w:p w14:paraId="5A4127FA" w14:textId="62F64843" w:rsidR="0078126D" w:rsidRPr="00BB6245" w:rsidRDefault="0078126D" w:rsidP="0078126D">
      <w:pPr>
        <w:spacing w:after="0" w:line="240" w:lineRule="auto"/>
        <w:ind w:right="284"/>
        <w:jc w:val="both"/>
        <w:rPr>
          <w:rFonts w:ascii="Century Gothic" w:eastAsia="Calibri" w:hAnsi="Century Gothic" w:cs="Arial"/>
          <w:b/>
          <w:sz w:val="24"/>
          <w:szCs w:val="24"/>
          <w:lang w:eastAsia="es-MX"/>
        </w:rPr>
      </w:pPr>
      <w:r w:rsidRPr="00BB6245">
        <w:rPr>
          <w:rFonts w:ascii="Century Gothic" w:eastAsia="Calibri" w:hAnsi="Century Gothic" w:cs="Arial"/>
          <w:b/>
          <w:sz w:val="24"/>
          <w:szCs w:val="24"/>
          <w:lang w:eastAsia="es-MX"/>
        </w:rPr>
        <w:t>PRESIDENT</w:t>
      </w:r>
      <w:r w:rsidR="007D2647" w:rsidRPr="00BB6245">
        <w:rPr>
          <w:rFonts w:ascii="Century Gothic" w:eastAsia="Calibri" w:hAnsi="Century Gothic" w:cs="Arial"/>
          <w:b/>
          <w:sz w:val="24"/>
          <w:szCs w:val="24"/>
          <w:lang w:eastAsia="es-MX"/>
        </w:rPr>
        <w:t>E</w:t>
      </w:r>
      <w:r w:rsidRPr="00BB6245">
        <w:rPr>
          <w:rFonts w:ascii="Century Gothic" w:eastAsia="Calibri" w:hAnsi="Century Gothic" w:cs="Arial"/>
          <w:b/>
          <w:sz w:val="24"/>
          <w:szCs w:val="24"/>
          <w:lang w:eastAsia="es-MX"/>
        </w:rPr>
        <w:t xml:space="preserve"> DE LA MESA DIRECTIVA DEL </w:t>
      </w:r>
    </w:p>
    <w:p w14:paraId="10A781BB" w14:textId="77777777" w:rsidR="0078126D" w:rsidRPr="00BB6245" w:rsidRDefault="0078126D" w:rsidP="0078126D">
      <w:pPr>
        <w:spacing w:after="0" w:line="240" w:lineRule="auto"/>
        <w:ind w:right="284"/>
        <w:jc w:val="both"/>
        <w:rPr>
          <w:rFonts w:ascii="Century Gothic" w:eastAsia="Calibri" w:hAnsi="Century Gothic" w:cs="Arial"/>
          <w:b/>
          <w:sz w:val="24"/>
          <w:szCs w:val="24"/>
          <w:lang w:eastAsia="es-MX"/>
        </w:rPr>
      </w:pPr>
      <w:r w:rsidRPr="00BB6245">
        <w:rPr>
          <w:rFonts w:ascii="Century Gothic" w:eastAsia="Calibri" w:hAnsi="Century Gothic" w:cs="Arial"/>
          <w:b/>
          <w:sz w:val="24"/>
          <w:szCs w:val="24"/>
          <w:lang w:eastAsia="es-MX"/>
        </w:rPr>
        <w:t xml:space="preserve">CONGRESO DEL ESTADO DE YUCATÁN </w:t>
      </w:r>
    </w:p>
    <w:p w14:paraId="0528A998" w14:textId="77777777" w:rsidR="0078126D" w:rsidRPr="00855F90" w:rsidRDefault="0078126D" w:rsidP="0078126D">
      <w:pPr>
        <w:spacing w:after="0" w:line="240" w:lineRule="auto"/>
        <w:ind w:right="284"/>
        <w:jc w:val="both"/>
        <w:rPr>
          <w:rFonts w:ascii="Century Gothic" w:eastAsia="Calibri" w:hAnsi="Century Gothic" w:cs="Arial"/>
          <w:b/>
          <w:sz w:val="24"/>
          <w:szCs w:val="24"/>
          <w:lang w:eastAsia="es-MX"/>
        </w:rPr>
      </w:pPr>
      <w:r w:rsidRPr="00BB6245">
        <w:rPr>
          <w:rFonts w:ascii="Century Gothic" w:eastAsia="Calibri" w:hAnsi="Century Gothic" w:cs="Arial"/>
          <w:b/>
          <w:sz w:val="24"/>
          <w:szCs w:val="24"/>
          <w:lang w:eastAsia="es-MX"/>
        </w:rPr>
        <w:t>P R E S E N T E</w:t>
      </w:r>
    </w:p>
    <w:p w14:paraId="03FEEAB7" w14:textId="77777777" w:rsidR="0078126D" w:rsidRPr="00855F90" w:rsidRDefault="0078126D" w:rsidP="0078126D">
      <w:pPr>
        <w:spacing w:after="0" w:line="240" w:lineRule="auto"/>
        <w:ind w:right="284"/>
        <w:jc w:val="both"/>
        <w:rPr>
          <w:rFonts w:ascii="Century Gothic" w:eastAsia="Calibri" w:hAnsi="Century Gothic" w:cs="Arial"/>
          <w:b/>
          <w:sz w:val="24"/>
          <w:szCs w:val="24"/>
          <w:lang w:eastAsia="es-MX"/>
        </w:rPr>
      </w:pPr>
    </w:p>
    <w:p w14:paraId="657F0E53" w14:textId="547C6E4C" w:rsidR="00855F90" w:rsidRDefault="00D75D1B" w:rsidP="0078126D">
      <w:pPr>
        <w:ind w:right="283"/>
        <w:jc w:val="both"/>
        <w:rPr>
          <w:rFonts w:ascii="Century Gothic" w:eastAsia="Calibri" w:hAnsi="Century Gothic" w:cs="Arial"/>
          <w:sz w:val="24"/>
          <w:szCs w:val="24"/>
          <w:lang w:eastAsia="es-MX"/>
        </w:rPr>
      </w:pPr>
      <w:r>
        <w:rPr>
          <w:rFonts w:ascii="Century Gothic" w:eastAsia="Calibri" w:hAnsi="Century Gothic" w:cs="Arial"/>
          <w:sz w:val="24"/>
          <w:szCs w:val="24"/>
          <w:lang w:eastAsia="es-MX"/>
        </w:rPr>
        <w:t>Las</w:t>
      </w:r>
      <w:r w:rsidR="005E6710">
        <w:rPr>
          <w:rFonts w:ascii="Century Gothic" w:eastAsia="Calibri" w:hAnsi="Century Gothic" w:cs="Arial"/>
          <w:sz w:val="24"/>
          <w:szCs w:val="24"/>
          <w:lang w:eastAsia="es-MX"/>
        </w:rPr>
        <w:t xml:space="preserve"> Diputadas y Diputados</w:t>
      </w:r>
      <w:r w:rsidR="0078126D" w:rsidRPr="00855F90">
        <w:rPr>
          <w:rFonts w:ascii="Century Gothic" w:eastAsia="Calibri" w:hAnsi="Century Gothic" w:cs="Arial"/>
          <w:sz w:val="24"/>
          <w:szCs w:val="24"/>
          <w:lang w:eastAsia="es-MX"/>
        </w:rPr>
        <w:t xml:space="preserve"> que suscribe</w:t>
      </w:r>
      <w:r>
        <w:rPr>
          <w:rFonts w:ascii="Century Gothic" w:eastAsia="Calibri" w:hAnsi="Century Gothic" w:cs="Arial"/>
          <w:sz w:val="24"/>
          <w:szCs w:val="24"/>
          <w:lang w:eastAsia="es-MX"/>
        </w:rPr>
        <w:t>n</w:t>
      </w:r>
      <w:r w:rsidR="003412AC">
        <w:rPr>
          <w:rFonts w:ascii="Century Gothic" w:eastAsia="Calibri" w:hAnsi="Century Gothic" w:cs="Arial"/>
          <w:sz w:val="24"/>
          <w:szCs w:val="24"/>
          <w:lang w:eastAsia="es-MX"/>
        </w:rPr>
        <w:t>,</w:t>
      </w:r>
      <w:r>
        <w:rPr>
          <w:rFonts w:ascii="Century Gothic" w:eastAsia="Calibri" w:hAnsi="Century Gothic" w:cs="Arial"/>
          <w:sz w:val="24"/>
          <w:szCs w:val="24"/>
          <w:lang w:eastAsia="es-MX"/>
        </w:rPr>
        <w:t xml:space="preserve"> </w:t>
      </w:r>
      <w:r w:rsidR="005E6710">
        <w:rPr>
          <w:rFonts w:ascii="Century Gothic" w:eastAsia="Calibri" w:hAnsi="Century Gothic" w:cs="Arial"/>
          <w:sz w:val="24"/>
          <w:szCs w:val="24"/>
          <w:lang w:eastAsia="es-MX"/>
        </w:rPr>
        <w:t xml:space="preserve">integrantes </w:t>
      </w:r>
      <w:r w:rsidR="0078126D" w:rsidRPr="00855F90">
        <w:rPr>
          <w:rFonts w:ascii="Century Gothic" w:eastAsia="Calibri" w:hAnsi="Century Gothic" w:cs="Arial"/>
          <w:sz w:val="24"/>
          <w:szCs w:val="24"/>
          <w:lang w:eastAsia="es-MX"/>
        </w:rPr>
        <w:t xml:space="preserve">del Partido Acción Nacional de la LXIII Legislatura de este H. Congreso del Estado de Yucatán, en ejercicio de la facultad conferida en el Artículo 35 fracción I de la Constitución Política del Estado de Yucatán; y los artículos  16 y 22 de la Ley de Gobierno del Poder Legislativo del Estado de Yucatán, así como el diverso 68 y 69 del Reglamento de la Ley de Gobierno del Poder Legislativo del Estado someto a consideración de esta Soberanía la presente: </w:t>
      </w:r>
      <w:r w:rsidR="00F43B74" w:rsidRPr="00F43B74">
        <w:rPr>
          <w:rFonts w:ascii="Century Gothic" w:eastAsia="Calibri" w:hAnsi="Century Gothic" w:cs="Arial"/>
          <w:b/>
          <w:bCs/>
          <w:sz w:val="24"/>
          <w:szCs w:val="24"/>
          <w:lang w:eastAsia="es-MX"/>
        </w:rPr>
        <w:t>INICIATIVA CON PROYECTO D</w:t>
      </w:r>
      <w:r w:rsidR="005E6710">
        <w:rPr>
          <w:rFonts w:ascii="Century Gothic" w:eastAsia="Calibri" w:hAnsi="Century Gothic" w:cs="Arial"/>
          <w:b/>
          <w:bCs/>
          <w:sz w:val="24"/>
          <w:szCs w:val="24"/>
          <w:lang w:eastAsia="es-MX"/>
        </w:rPr>
        <w:t>E DECRETO POR EL QUE SE MODIFICAN</w:t>
      </w:r>
      <w:r w:rsidR="00F43B74" w:rsidRPr="00F43B74">
        <w:rPr>
          <w:rFonts w:ascii="Century Gothic" w:eastAsia="Calibri" w:hAnsi="Century Gothic" w:cs="Arial"/>
          <w:b/>
          <w:bCs/>
          <w:sz w:val="24"/>
          <w:szCs w:val="24"/>
          <w:lang w:eastAsia="es-MX"/>
        </w:rPr>
        <w:t xml:space="preserve"> DIVERSAS DISPOSICIONES A LA LEY DE ACCESO DE LAS MUJERES A UNA VIDA LIBRE DE VIOLENCIA DEL ESTADO DE YUCATÁN Y AL CÓDIGO PENAL DEL ESTADO DE YUCATÁN, </w:t>
      </w:r>
      <w:r w:rsidR="00B36EA3" w:rsidRPr="00B36EA3">
        <w:rPr>
          <w:rFonts w:ascii="Century Gothic" w:eastAsia="Calibri" w:hAnsi="Century Gothic" w:cs="Arial"/>
          <w:b/>
          <w:bCs/>
          <w:sz w:val="24"/>
          <w:szCs w:val="24"/>
          <w:lang w:eastAsia="es-MX"/>
        </w:rPr>
        <w:t>EN MATERIA DE TENTATIVA DE FEMINICIDIO CAUSADA POR ÁCIDOS O SUSTANCIAS CORROSIVAS</w:t>
      </w:r>
      <w:r w:rsidR="00B9058E" w:rsidRPr="00855F90">
        <w:rPr>
          <w:rFonts w:ascii="Century Gothic" w:eastAsia="Calibri" w:hAnsi="Century Gothic" w:cs="Arial"/>
          <w:sz w:val="24"/>
          <w:szCs w:val="24"/>
          <w:lang w:eastAsia="es-MX"/>
        </w:rPr>
        <w:t>”</w:t>
      </w:r>
      <w:r w:rsidR="0078126D" w:rsidRPr="00855F90">
        <w:rPr>
          <w:rFonts w:ascii="Century Gothic" w:eastAsia="Calibri" w:hAnsi="Century Gothic" w:cs="Arial"/>
          <w:sz w:val="24"/>
          <w:szCs w:val="24"/>
          <w:lang w:eastAsia="es-MX"/>
        </w:rPr>
        <w:t>. Al tenor de la siguiente:</w:t>
      </w:r>
    </w:p>
    <w:p w14:paraId="7354CD11" w14:textId="77777777" w:rsidR="00B36EA3" w:rsidRPr="00F43B74" w:rsidRDefault="00B36EA3" w:rsidP="0078126D">
      <w:pPr>
        <w:ind w:right="283"/>
        <w:jc w:val="both"/>
        <w:rPr>
          <w:rFonts w:ascii="Century Gothic" w:eastAsia="Calibri" w:hAnsi="Century Gothic" w:cs="Arial"/>
          <w:b/>
          <w:bCs/>
          <w:sz w:val="24"/>
          <w:szCs w:val="24"/>
          <w:lang w:eastAsia="es-MX"/>
        </w:rPr>
      </w:pPr>
    </w:p>
    <w:p w14:paraId="5655678F" w14:textId="77777777" w:rsidR="0078126D" w:rsidRDefault="0078126D" w:rsidP="0078126D">
      <w:pPr>
        <w:ind w:right="283"/>
        <w:jc w:val="center"/>
        <w:rPr>
          <w:rFonts w:ascii="Century Gothic" w:eastAsia="Calibri" w:hAnsi="Century Gothic" w:cs="Arial"/>
          <w:b/>
          <w:sz w:val="24"/>
          <w:szCs w:val="24"/>
          <w:lang w:eastAsia="es-MX"/>
        </w:rPr>
      </w:pPr>
      <w:r w:rsidRPr="00855F90">
        <w:rPr>
          <w:rFonts w:ascii="Century Gothic" w:eastAsia="Calibri" w:hAnsi="Century Gothic" w:cs="Arial"/>
          <w:b/>
          <w:sz w:val="24"/>
          <w:szCs w:val="24"/>
          <w:lang w:eastAsia="es-MX"/>
        </w:rPr>
        <w:t>EXPOSICIÓN DE MOTIVOS</w:t>
      </w:r>
    </w:p>
    <w:p w14:paraId="4B07F703" w14:textId="77777777" w:rsidR="005E6710" w:rsidRDefault="005E6710" w:rsidP="00C81209">
      <w:pPr>
        <w:ind w:right="283" w:firstLine="708"/>
        <w:jc w:val="both"/>
        <w:rPr>
          <w:rFonts w:ascii="Century Gothic" w:eastAsia="Calibri" w:hAnsi="Century Gothic" w:cs="Arial"/>
          <w:sz w:val="24"/>
          <w:szCs w:val="24"/>
          <w:lang w:eastAsia="es-MX"/>
        </w:rPr>
      </w:pPr>
    </w:p>
    <w:p w14:paraId="5488AA99" w14:textId="77777777" w:rsidR="00C81209" w:rsidRPr="00C81209" w:rsidRDefault="00C81209" w:rsidP="00C81209">
      <w:pPr>
        <w:ind w:right="283" w:firstLine="708"/>
        <w:jc w:val="both"/>
        <w:rPr>
          <w:rFonts w:ascii="Century Gothic" w:eastAsia="Calibri" w:hAnsi="Century Gothic" w:cs="Arial"/>
          <w:sz w:val="24"/>
          <w:szCs w:val="24"/>
          <w:lang w:eastAsia="es-MX"/>
        </w:rPr>
      </w:pPr>
      <w:r w:rsidRPr="00C81209">
        <w:rPr>
          <w:rFonts w:ascii="Century Gothic" w:eastAsia="Calibri" w:hAnsi="Century Gothic" w:cs="Arial"/>
          <w:sz w:val="24"/>
          <w:szCs w:val="24"/>
          <w:lang w:eastAsia="es-MX"/>
        </w:rPr>
        <w:t xml:space="preserve">La violencia en contra de las mujeres configura uno de los principales problemas públicos que encara el Estado mexicano en la actualidad. Todo tipo de manifestaciones que impliquen un daño o sufrimiento físico en contra de las mujeres, o que vulneren su dignidad debe ser atendido mediante instrumentos específicos. </w:t>
      </w:r>
    </w:p>
    <w:p w14:paraId="1A05903E" w14:textId="77777777" w:rsidR="00C81209" w:rsidRPr="00C81209" w:rsidRDefault="00C81209" w:rsidP="00C81209">
      <w:pPr>
        <w:ind w:right="283" w:firstLine="708"/>
        <w:jc w:val="both"/>
        <w:rPr>
          <w:rFonts w:ascii="Century Gothic" w:eastAsia="Calibri" w:hAnsi="Century Gothic" w:cs="Arial"/>
          <w:sz w:val="24"/>
          <w:szCs w:val="24"/>
          <w:lang w:eastAsia="es-MX"/>
        </w:rPr>
      </w:pPr>
      <w:r w:rsidRPr="00C81209">
        <w:rPr>
          <w:rFonts w:ascii="Century Gothic" w:eastAsia="Calibri" w:hAnsi="Century Gothic" w:cs="Arial"/>
          <w:sz w:val="24"/>
          <w:szCs w:val="24"/>
          <w:lang w:eastAsia="es-MX"/>
        </w:rPr>
        <w:t xml:space="preserve">El Estado mexicano se ha suscrito a diversos instrumentos internacionales como la Convención sobre la Eliminación de todas las formas de Discriminación contra la Mujer, la Declaración y Plataforma de Acción de Beijing, y la Convención Interamericana para Prevenir, Sancionar y Erradicar la violencia contra la Mujer. </w:t>
      </w:r>
    </w:p>
    <w:p w14:paraId="32198087" w14:textId="627B5A23" w:rsidR="00C81209" w:rsidRPr="00C81209" w:rsidRDefault="00C81209" w:rsidP="00C81209">
      <w:pPr>
        <w:ind w:right="283" w:firstLine="708"/>
        <w:jc w:val="both"/>
        <w:rPr>
          <w:rFonts w:ascii="Century Gothic" w:eastAsia="Calibri" w:hAnsi="Century Gothic" w:cs="Arial"/>
          <w:sz w:val="24"/>
          <w:szCs w:val="24"/>
          <w:lang w:eastAsia="es-MX"/>
        </w:rPr>
      </w:pPr>
      <w:r w:rsidRPr="00C81209">
        <w:rPr>
          <w:rFonts w:ascii="Century Gothic" w:eastAsia="Calibri" w:hAnsi="Century Gothic" w:cs="Arial"/>
          <w:sz w:val="24"/>
          <w:szCs w:val="24"/>
          <w:lang w:eastAsia="es-MX"/>
        </w:rPr>
        <w:t>Es por ello que, el constituyente permanente decidió crear todo un andamiaje jurídico como la Ley General de Acceso de las Mujeres a una Vida Libre de Violencia para armonizar nuestra legislación con el marco convencional del cual México forma parte y está obligado a cumplir.</w:t>
      </w:r>
    </w:p>
    <w:p w14:paraId="08408A65" w14:textId="36AC435E" w:rsidR="00C81209" w:rsidRPr="00C81209" w:rsidRDefault="00C81209" w:rsidP="00C81209">
      <w:pPr>
        <w:ind w:right="283" w:firstLine="708"/>
        <w:jc w:val="both"/>
        <w:rPr>
          <w:rFonts w:ascii="Century Gothic" w:eastAsia="Calibri" w:hAnsi="Century Gothic" w:cs="Arial"/>
          <w:sz w:val="24"/>
          <w:szCs w:val="24"/>
          <w:lang w:eastAsia="es-MX"/>
        </w:rPr>
      </w:pPr>
      <w:r w:rsidRPr="00C81209">
        <w:rPr>
          <w:rFonts w:ascii="Century Gothic" w:eastAsia="Calibri" w:hAnsi="Century Gothic" w:cs="Arial"/>
          <w:sz w:val="24"/>
          <w:szCs w:val="24"/>
          <w:lang w:eastAsia="es-MX"/>
        </w:rPr>
        <w:lastRenderedPageBreak/>
        <w:t>Los cambios legi</w:t>
      </w:r>
      <w:r w:rsidR="00FB29A3">
        <w:rPr>
          <w:rFonts w:ascii="Century Gothic" w:eastAsia="Calibri" w:hAnsi="Century Gothic" w:cs="Arial"/>
          <w:sz w:val="24"/>
          <w:szCs w:val="24"/>
          <w:lang w:eastAsia="es-MX"/>
        </w:rPr>
        <w:t xml:space="preserve">slativos realizados con anterioridad, </w:t>
      </w:r>
      <w:r w:rsidRPr="00C81209">
        <w:rPr>
          <w:rFonts w:ascii="Century Gothic" w:eastAsia="Calibri" w:hAnsi="Century Gothic" w:cs="Arial"/>
          <w:sz w:val="24"/>
          <w:szCs w:val="24"/>
          <w:lang w:eastAsia="es-MX"/>
        </w:rPr>
        <w:t>resultan de suma importancia para prevenir, investigar y sancionar todo tipo de actos que impliquen violencia en contra de las mujeres me</w:t>
      </w:r>
      <w:r w:rsidR="00FB29A3">
        <w:rPr>
          <w:rFonts w:ascii="Century Gothic" w:eastAsia="Calibri" w:hAnsi="Century Gothic" w:cs="Arial"/>
          <w:sz w:val="24"/>
          <w:szCs w:val="24"/>
          <w:lang w:eastAsia="es-MX"/>
        </w:rPr>
        <w:t>xicanas. En este sentido,</w:t>
      </w:r>
      <w:r w:rsidRPr="00C81209">
        <w:rPr>
          <w:rFonts w:ascii="Century Gothic" w:eastAsia="Calibri" w:hAnsi="Century Gothic" w:cs="Arial"/>
          <w:sz w:val="24"/>
          <w:szCs w:val="24"/>
          <w:lang w:eastAsia="es-MX"/>
        </w:rPr>
        <w:t xml:space="preserve"> el pasado 08 de marzo de 2021 la Cámara de Diputados</w:t>
      </w:r>
      <w:r w:rsidR="00FB29A3">
        <w:rPr>
          <w:rFonts w:ascii="Century Gothic" w:eastAsia="Calibri" w:hAnsi="Century Gothic" w:cs="Arial"/>
          <w:sz w:val="24"/>
          <w:szCs w:val="24"/>
          <w:lang w:eastAsia="es-MX"/>
        </w:rPr>
        <w:t xml:space="preserve"> Federal</w:t>
      </w:r>
      <w:r w:rsidRPr="00C81209">
        <w:rPr>
          <w:rFonts w:ascii="Century Gothic" w:eastAsia="Calibri" w:hAnsi="Century Gothic" w:cs="Arial"/>
          <w:sz w:val="24"/>
          <w:szCs w:val="24"/>
          <w:lang w:eastAsia="es-MX"/>
        </w:rPr>
        <w:t xml:space="preserve"> decidió aprobar una reforma al artículo 6 de la Ley General de Acceso de las Mujeres a una Vida Libre de Violencia con la finalidad de establecer que toda conducta que inflija un daño con sustancias corrosivas y/o tóxicas deben considerarse como violencia física. </w:t>
      </w:r>
    </w:p>
    <w:p w14:paraId="62621F23" w14:textId="2F0A0A27" w:rsidR="00C81209" w:rsidRPr="00C81209" w:rsidRDefault="00C81209" w:rsidP="00C81209">
      <w:pPr>
        <w:ind w:right="283" w:firstLine="708"/>
        <w:jc w:val="both"/>
        <w:rPr>
          <w:rFonts w:ascii="Century Gothic" w:eastAsia="Calibri" w:hAnsi="Century Gothic" w:cs="Arial"/>
          <w:sz w:val="24"/>
          <w:szCs w:val="24"/>
          <w:lang w:eastAsia="es-MX"/>
        </w:rPr>
      </w:pPr>
      <w:r w:rsidRPr="00C81209">
        <w:rPr>
          <w:rFonts w:ascii="Century Gothic" w:eastAsia="Calibri" w:hAnsi="Century Gothic" w:cs="Arial"/>
          <w:sz w:val="24"/>
          <w:szCs w:val="24"/>
          <w:lang w:eastAsia="es-MX"/>
        </w:rPr>
        <w:t>El 15 de marzo de 2022, el pleno del Senado de la República aprobó la minuta en cuestión con modificaciones, adecuaciones que fueron ratificadas por la Comisión de Igualdad de Género de la Cámara de Diputados el pasado 30 de mayo de 2022 mediante la aprobación del dictamen en la materia.</w:t>
      </w:r>
    </w:p>
    <w:p w14:paraId="0D0B1932" w14:textId="77777777" w:rsidR="00C81209" w:rsidRPr="00C81209" w:rsidRDefault="00C81209" w:rsidP="00C81209">
      <w:pPr>
        <w:ind w:right="283" w:firstLine="708"/>
        <w:jc w:val="both"/>
        <w:rPr>
          <w:rFonts w:ascii="Century Gothic" w:eastAsia="Calibri" w:hAnsi="Century Gothic" w:cs="Arial"/>
          <w:sz w:val="24"/>
          <w:szCs w:val="24"/>
          <w:lang w:eastAsia="es-MX"/>
        </w:rPr>
      </w:pPr>
      <w:r w:rsidRPr="00C81209">
        <w:rPr>
          <w:rFonts w:ascii="Century Gothic" w:eastAsia="Calibri" w:hAnsi="Century Gothic" w:cs="Arial"/>
          <w:sz w:val="24"/>
          <w:szCs w:val="24"/>
          <w:lang w:eastAsia="es-MX"/>
        </w:rPr>
        <w:t xml:space="preserve">Conforme al inciso d) del artículo 7 de la Convención Interamericana para Prevenir, Sancionar y Erradicar la Violencia Contra la Mujer “Convención de Belem Do Para, es posible advertir que los Estados parte deberán: </w:t>
      </w:r>
    </w:p>
    <w:p w14:paraId="7DD254F3" w14:textId="77777777" w:rsidR="00C81209" w:rsidRPr="00C81209" w:rsidRDefault="00C81209" w:rsidP="00C81209">
      <w:pPr>
        <w:ind w:right="283"/>
        <w:jc w:val="both"/>
        <w:rPr>
          <w:rFonts w:ascii="Century Gothic" w:eastAsia="Calibri" w:hAnsi="Century Gothic" w:cs="Arial"/>
          <w:sz w:val="24"/>
          <w:szCs w:val="24"/>
          <w:lang w:eastAsia="es-MX"/>
        </w:rPr>
      </w:pPr>
      <w:r w:rsidRPr="00C81209">
        <w:rPr>
          <w:rFonts w:ascii="Century Gothic" w:eastAsia="Calibri" w:hAnsi="Century Gothic" w:cs="Arial"/>
          <w:i/>
          <w:iCs/>
          <w:sz w:val="24"/>
          <w:szCs w:val="24"/>
          <w:lang w:eastAsia="es-MX"/>
        </w:rPr>
        <w:t xml:space="preserve">“d. adoptar medidas jurídicas para conminar al agresor a abstenerse de hostigar, intimidar, amenazar, dañar o poner en peligro la vida de la mujer de cualquier forma que atente contra su integridad o perjudique su propiedad;” </w:t>
      </w:r>
    </w:p>
    <w:p w14:paraId="0911DA8D" w14:textId="77777777" w:rsidR="00C81209" w:rsidRPr="00C81209" w:rsidRDefault="00C81209" w:rsidP="00C81209">
      <w:pPr>
        <w:ind w:right="283" w:firstLine="708"/>
        <w:jc w:val="both"/>
        <w:rPr>
          <w:rFonts w:ascii="Century Gothic" w:eastAsia="Calibri" w:hAnsi="Century Gothic" w:cs="Arial"/>
          <w:sz w:val="24"/>
          <w:szCs w:val="24"/>
          <w:lang w:eastAsia="es-MX"/>
        </w:rPr>
      </w:pPr>
      <w:r w:rsidRPr="00C81209">
        <w:rPr>
          <w:rFonts w:ascii="Century Gothic" w:eastAsia="Calibri" w:hAnsi="Century Gothic" w:cs="Arial"/>
          <w:sz w:val="24"/>
          <w:szCs w:val="24"/>
          <w:lang w:eastAsia="es-MX"/>
        </w:rPr>
        <w:t xml:space="preserve">En razón de ello que es la política criminal instrumentada por el Poder Legislativo Federal debe buscar disuadir cualquier tipo de conducta que contravenga derechos fundamentales como lo es el derecho de acceso a una vida libre de violencia de las mujeres, niñas y adolescentes. </w:t>
      </w:r>
    </w:p>
    <w:p w14:paraId="33EF195D" w14:textId="11326BBA" w:rsidR="00C81209" w:rsidRPr="00C81209" w:rsidRDefault="00C81209" w:rsidP="00C81209">
      <w:pPr>
        <w:ind w:right="283" w:firstLine="708"/>
        <w:jc w:val="both"/>
        <w:rPr>
          <w:rFonts w:ascii="Century Gothic" w:eastAsia="Calibri" w:hAnsi="Century Gothic" w:cs="Arial"/>
          <w:sz w:val="24"/>
          <w:szCs w:val="24"/>
          <w:lang w:eastAsia="es-MX"/>
        </w:rPr>
      </w:pPr>
      <w:r w:rsidRPr="00C81209">
        <w:rPr>
          <w:rFonts w:ascii="Century Gothic" w:eastAsia="Calibri" w:hAnsi="Century Gothic" w:cs="Arial"/>
          <w:sz w:val="24"/>
          <w:szCs w:val="24"/>
          <w:lang w:eastAsia="es-MX"/>
        </w:rPr>
        <w:t>El organismo internacional de ONU Mujeres ha definido que un ataque con ácido “supone arrojar ácido a una víctima, generalmente a la cara, con premeditación. Además de causar trauma psicológico, los ataques con ácido provocan dolor agudo, desfiguración permanente, posteriores infecciones, y a menudo cegu</w:t>
      </w:r>
      <w:r w:rsidR="00FB29A3">
        <w:rPr>
          <w:rFonts w:ascii="Century Gothic" w:eastAsia="Calibri" w:hAnsi="Century Gothic" w:cs="Arial"/>
          <w:sz w:val="24"/>
          <w:szCs w:val="24"/>
          <w:lang w:eastAsia="es-MX"/>
        </w:rPr>
        <w:t>era en un ojo o ambos”.</w:t>
      </w:r>
      <w:r w:rsidR="00FB29A3">
        <w:rPr>
          <w:rStyle w:val="Refdenotaalpie"/>
          <w:rFonts w:ascii="Century Gothic" w:eastAsia="Calibri" w:hAnsi="Century Gothic" w:cs="Arial"/>
          <w:sz w:val="24"/>
          <w:szCs w:val="24"/>
          <w:lang w:eastAsia="es-MX"/>
        </w:rPr>
        <w:footnoteReference w:id="1"/>
      </w:r>
    </w:p>
    <w:p w14:paraId="102EE906" w14:textId="05DA9578" w:rsidR="00C81209" w:rsidRPr="00C81209" w:rsidRDefault="00C81209" w:rsidP="00C81209">
      <w:pPr>
        <w:ind w:right="283" w:firstLine="708"/>
        <w:jc w:val="both"/>
        <w:rPr>
          <w:rFonts w:ascii="Century Gothic" w:eastAsia="Calibri" w:hAnsi="Century Gothic" w:cs="Arial"/>
          <w:sz w:val="24"/>
          <w:szCs w:val="24"/>
          <w:lang w:eastAsia="es-MX"/>
        </w:rPr>
      </w:pPr>
      <w:r w:rsidRPr="00C81209">
        <w:rPr>
          <w:rFonts w:ascii="Century Gothic" w:eastAsia="Calibri" w:hAnsi="Century Gothic" w:cs="Arial"/>
          <w:sz w:val="24"/>
          <w:szCs w:val="24"/>
          <w:lang w:eastAsia="es-MX"/>
        </w:rPr>
        <w:t>Por otra parte, el Consejo Nacional para Prevenir la Discriminación (CONAPRED) ha señalado que los ataques con ácidos y otras sustancias corrosivas “</w:t>
      </w:r>
      <w:r w:rsidRPr="00FB29A3">
        <w:rPr>
          <w:rFonts w:ascii="Century Gothic" w:eastAsia="Calibri" w:hAnsi="Century Gothic" w:cs="Arial"/>
          <w:i/>
          <w:sz w:val="24"/>
          <w:szCs w:val="24"/>
          <w:lang w:eastAsia="es-MX"/>
        </w:rPr>
        <w:t xml:space="preserve">Son agresiones con una altísima carga simbólica. Pretenden marcar de por vida. Dejar en el rostro desfigurado y en el cuerpo de la víctima la estampa de su crimen, de sus celos, de su odio. Una huella imborrable y dramática. El ácido y otras sustancias abrasivas son utilizadas en muchos países como un arma que no solo </w:t>
      </w:r>
      <w:r w:rsidRPr="00FB29A3">
        <w:rPr>
          <w:rFonts w:ascii="Century Gothic" w:eastAsia="Calibri" w:hAnsi="Century Gothic" w:cs="Arial"/>
          <w:i/>
          <w:sz w:val="24"/>
          <w:szCs w:val="24"/>
          <w:lang w:eastAsia="es-MX"/>
        </w:rPr>
        <w:lastRenderedPageBreak/>
        <w:t>pretende causar un sufrimiento físico enorme-o, incluso, la muerte-, sino también para imponerle una condena social que la acompañará de por vida. Al mirarse al espejo, al observar las reacciones de los otros. Es la marca de la posesión. Una firma ardiente que lastra la vida, o lo que queda de ella, de mile</w:t>
      </w:r>
      <w:r w:rsidR="00FB29A3" w:rsidRPr="00FB29A3">
        <w:rPr>
          <w:rFonts w:ascii="Century Gothic" w:eastAsia="Calibri" w:hAnsi="Century Gothic" w:cs="Arial"/>
          <w:i/>
          <w:sz w:val="24"/>
          <w:szCs w:val="24"/>
          <w:lang w:eastAsia="es-MX"/>
        </w:rPr>
        <w:t>s de mujeres en todo el mundo”</w:t>
      </w:r>
      <w:r w:rsidR="00FB29A3">
        <w:rPr>
          <w:rFonts w:ascii="Century Gothic" w:eastAsia="Calibri" w:hAnsi="Century Gothic" w:cs="Arial"/>
          <w:sz w:val="24"/>
          <w:szCs w:val="24"/>
          <w:lang w:eastAsia="es-MX"/>
        </w:rPr>
        <w:t>.</w:t>
      </w:r>
      <w:r w:rsidR="00FB29A3">
        <w:rPr>
          <w:rStyle w:val="Refdenotaalpie"/>
          <w:rFonts w:ascii="Century Gothic" w:eastAsia="Calibri" w:hAnsi="Century Gothic" w:cs="Arial"/>
          <w:sz w:val="24"/>
          <w:szCs w:val="24"/>
          <w:lang w:eastAsia="es-MX"/>
        </w:rPr>
        <w:footnoteReference w:id="2"/>
      </w:r>
      <w:r w:rsidRPr="00C81209">
        <w:rPr>
          <w:rFonts w:ascii="Century Gothic" w:eastAsia="Calibri" w:hAnsi="Century Gothic" w:cs="Arial"/>
          <w:sz w:val="24"/>
          <w:szCs w:val="24"/>
          <w:lang w:eastAsia="es-MX"/>
        </w:rPr>
        <w:t xml:space="preserve"> </w:t>
      </w:r>
    </w:p>
    <w:p w14:paraId="043F5CB6" w14:textId="72AE3D87" w:rsidR="00C81209" w:rsidRPr="00C81209" w:rsidRDefault="00C81209" w:rsidP="00C81209">
      <w:pPr>
        <w:ind w:right="283" w:firstLine="708"/>
        <w:jc w:val="both"/>
        <w:rPr>
          <w:rFonts w:ascii="Century Gothic" w:eastAsia="Calibri" w:hAnsi="Century Gothic" w:cs="Arial"/>
          <w:sz w:val="24"/>
          <w:szCs w:val="24"/>
          <w:lang w:eastAsia="es-MX"/>
        </w:rPr>
      </w:pPr>
      <w:r w:rsidRPr="00C81209">
        <w:rPr>
          <w:rFonts w:ascii="Century Gothic" w:eastAsia="Calibri" w:hAnsi="Century Gothic" w:cs="Arial"/>
          <w:sz w:val="24"/>
          <w:szCs w:val="24"/>
          <w:lang w:eastAsia="es-MX"/>
        </w:rPr>
        <w:t>Sostienen que esta modalidad de violencia ejercida principalmente en contra de las mujeres es llevada a cabo con la finalidad de buscar venganza por celos, rechazos sexuales o románticos, siendo estas algunas de las razones por las que actúan los perpetradores.</w:t>
      </w:r>
    </w:p>
    <w:p w14:paraId="73C65FF3" w14:textId="13A8110E" w:rsidR="00C81209" w:rsidRPr="00C81209" w:rsidRDefault="00C81209" w:rsidP="00C81209">
      <w:pPr>
        <w:ind w:right="283" w:firstLine="708"/>
        <w:jc w:val="both"/>
        <w:rPr>
          <w:rFonts w:ascii="Century Gothic" w:eastAsia="Calibri" w:hAnsi="Century Gothic" w:cs="Arial"/>
          <w:sz w:val="24"/>
          <w:szCs w:val="24"/>
          <w:lang w:eastAsia="es-MX"/>
        </w:rPr>
      </w:pPr>
      <w:r w:rsidRPr="00C81209">
        <w:rPr>
          <w:rFonts w:ascii="Century Gothic" w:eastAsia="Calibri" w:hAnsi="Century Gothic" w:cs="Arial"/>
          <w:sz w:val="24"/>
          <w:szCs w:val="24"/>
          <w:lang w:eastAsia="es-MX"/>
        </w:rPr>
        <w:t>Esto es importante, ya que de acuerdo con el INEGI el 49.3% de los casos de violencia en contra de las mujeres ha sido ejercido por su p</w:t>
      </w:r>
      <w:r w:rsidR="00FB29A3">
        <w:rPr>
          <w:rFonts w:ascii="Century Gothic" w:eastAsia="Calibri" w:hAnsi="Century Gothic" w:cs="Arial"/>
          <w:sz w:val="24"/>
          <w:szCs w:val="24"/>
          <w:lang w:eastAsia="es-MX"/>
        </w:rPr>
        <w:t>areja actual o su última pareja</w:t>
      </w:r>
      <w:r w:rsidR="00FB29A3">
        <w:rPr>
          <w:rStyle w:val="Refdenotaalpie"/>
          <w:rFonts w:ascii="Century Gothic" w:eastAsia="Calibri" w:hAnsi="Century Gothic" w:cs="Arial"/>
          <w:sz w:val="24"/>
          <w:szCs w:val="24"/>
          <w:lang w:eastAsia="es-MX"/>
        </w:rPr>
        <w:footnoteReference w:id="3"/>
      </w:r>
      <w:r w:rsidRPr="00C81209">
        <w:rPr>
          <w:rFonts w:ascii="Century Gothic" w:eastAsia="Calibri" w:hAnsi="Century Gothic" w:cs="Arial"/>
          <w:sz w:val="24"/>
          <w:szCs w:val="24"/>
          <w:lang w:eastAsia="es-MX"/>
        </w:rPr>
        <w:t xml:space="preserve">, es decir, existe un alto índice de casos en los que se da en el marco de relaciones afectivas. </w:t>
      </w:r>
    </w:p>
    <w:p w14:paraId="1C5BEAA3" w14:textId="77777777" w:rsidR="00C81209" w:rsidRPr="00C81209" w:rsidRDefault="00C81209" w:rsidP="00C81209">
      <w:pPr>
        <w:ind w:right="283" w:firstLine="708"/>
        <w:jc w:val="both"/>
        <w:rPr>
          <w:rFonts w:ascii="Century Gothic" w:eastAsia="Calibri" w:hAnsi="Century Gothic" w:cs="Arial"/>
          <w:sz w:val="24"/>
          <w:szCs w:val="24"/>
          <w:lang w:eastAsia="es-MX"/>
        </w:rPr>
      </w:pPr>
      <w:r w:rsidRPr="00C81209">
        <w:rPr>
          <w:rFonts w:ascii="Century Gothic" w:eastAsia="Calibri" w:hAnsi="Century Gothic" w:cs="Arial"/>
          <w:sz w:val="24"/>
          <w:szCs w:val="24"/>
          <w:lang w:eastAsia="es-MX"/>
        </w:rPr>
        <w:t xml:space="preserve">De acuerdo con la organización </w:t>
      </w:r>
      <w:proofErr w:type="spellStart"/>
      <w:r w:rsidRPr="00C81209">
        <w:rPr>
          <w:rFonts w:ascii="Century Gothic" w:eastAsia="Calibri" w:hAnsi="Century Gothic" w:cs="Arial"/>
          <w:i/>
          <w:iCs/>
          <w:sz w:val="24"/>
          <w:szCs w:val="24"/>
          <w:lang w:eastAsia="es-MX"/>
        </w:rPr>
        <w:t>Acid</w:t>
      </w:r>
      <w:proofErr w:type="spellEnd"/>
      <w:r w:rsidRPr="00C81209">
        <w:rPr>
          <w:rFonts w:ascii="Century Gothic" w:eastAsia="Calibri" w:hAnsi="Century Gothic" w:cs="Arial"/>
          <w:i/>
          <w:iCs/>
          <w:sz w:val="24"/>
          <w:szCs w:val="24"/>
          <w:lang w:eastAsia="es-MX"/>
        </w:rPr>
        <w:t xml:space="preserve"> </w:t>
      </w:r>
      <w:proofErr w:type="spellStart"/>
      <w:r w:rsidRPr="00C81209">
        <w:rPr>
          <w:rFonts w:ascii="Century Gothic" w:eastAsia="Calibri" w:hAnsi="Century Gothic" w:cs="Arial"/>
          <w:i/>
          <w:iCs/>
          <w:sz w:val="24"/>
          <w:szCs w:val="24"/>
          <w:lang w:eastAsia="es-MX"/>
        </w:rPr>
        <w:t>Survivors</w:t>
      </w:r>
      <w:proofErr w:type="spellEnd"/>
      <w:r w:rsidRPr="00C81209">
        <w:rPr>
          <w:rFonts w:ascii="Century Gothic" w:eastAsia="Calibri" w:hAnsi="Century Gothic" w:cs="Arial"/>
          <w:i/>
          <w:iCs/>
          <w:sz w:val="24"/>
          <w:szCs w:val="24"/>
          <w:lang w:eastAsia="es-MX"/>
        </w:rPr>
        <w:t xml:space="preserve"> Trust International </w:t>
      </w:r>
      <w:r w:rsidRPr="00C81209">
        <w:rPr>
          <w:rFonts w:ascii="Century Gothic" w:eastAsia="Calibri" w:hAnsi="Century Gothic" w:cs="Arial"/>
          <w:sz w:val="24"/>
          <w:szCs w:val="24"/>
          <w:lang w:eastAsia="es-MX"/>
        </w:rPr>
        <w:t xml:space="preserve">los ataques con ácido y otras sustancias corrosivas tienen como víctimas principalmente a las mujeres, razón por la cual se trata de una manifestación específica de la violencia de género en contra de las mujeres. </w:t>
      </w:r>
    </w:p>
    <w:p w14:paraId="022DBB25" w14:textId="66610CB6" w:rsidR="00C81209" w:rsidRPr="00C81209" w:rsidRDefault="00C81209" w:rsidP="00C81209">
      <w:pPr>
        <w:ind w:right="283" w:firstLine="708"/>
        <w:jc w:val="both"/>
        <w:rPr>
          <w:rFonts w:ascii="Century Gothic" w:eastAsia="Calibri" w:hAnsi="Century Gothic" w:cs="Arial"/>
          <w:sz w:val="24"/>
          <w:szCs w:val="24"/>
          <w:lang w:eastAsia="es-MX"/>
        </w:rPr>
      </w:pPr>
      <w:r w:rsidRPr="00C81209">
        <w:rPr>
          <w:rFonts w:ascii="Century Gothic" w:eastAsia="Calibri" w:hAnsi="Century Gothic" w:cs="Arial"/>
          <w:sz w:val="24"/>
          <w:szCs w:val="24"/>
          <w:lang w:eastAsia="es-MX"/>
        </w:rPr>
        <w:t>A su vez, destaca que este tipo de violencia causa un daño inmediato en el cuerpo de las mujeres, causándoles desfiguramiento, dolor y rehabilitación a largo plazo. Las quemaduras no solamente causan quemaduras permanentes, sino que tambi</w:t>
      </w:r>
      <w:r w:rsidR="00FB29A3">
        <w:rPr>
          <w:rFonts w:ascii="Century Gothic" w:eastAsia="Calibri" w:hAnsi="Century Gothic" w:cs="Arial"/>
          <w:sz w:val="24"/>
          <w:szCs w:val="24"/>
          <w:lang w:eastAsia="es-MX"/>
        </w:rPr>
        <w:t>én causan traumas psicológicos.</w:t>
      </w:r>
      <w:r w:rsidR="00FB29A3">
        <w:rPr>
          <w:rStyle w:val="Refdenotaalpie"/>
          <w:rFonts w:ascii="Century Gothic" w:eastAsia="Calibri" w:hAnsi="Century Gothic" w:cs="Arial"/>
          <w:sz w:val="24"/>
          <w:szCs w:val="24"/>
          <w:lang w:eastAsia="es-MX"/>
        </w:rPr>
        <w:footnoteReference w:id="4"/>
      </w:r>
    </w:p>
    <w:p w14:paraId="7C996866" w14:textId="77777777" w:rsidR="00C81209" w:rsidRPr="00C81209" w:rsidRDefault="00C81209" w:rsidP="00C81209">
      <w:pPr>
        <w:ind w:right="283" w:firstLine="708"/>
        <w:jc w:val="both"/>
        <w:rPr>
          <w:rFonts w:ascii="Century Gothic" w:eastAsia="Calibri" w:hAnsi="Century Gothic" w:cs="Arial"/>
          <w:sz w:val="24"/>
          <w:szCs w:val="24"/>
          <w:lang w:eastAsia="es-MX"/>
        </w:rPr>
      </w:pPr>
      <w:r w:rsidRPr="00C81209">
        <w:rPr>
          <w:rFonts w:ascii="Century Gothic" w:eastAsia="Calibri" w:hAnsi="Century Gothic" w:cs="Arial"/>
          <w:sz w:val="24"/>
          <w:szCs w:val="24"/>
          <w:lang w:eastAsia="es-MX"/>
        </w:rPr>
        <w:t xml:space="preserve">La </w:t>
      </w:r>
      <w:r w:rsidRPr="00C81209">
        <w:rPr>
          <w:rFonts w:ascii="Century Gothic" w:eastAsia="Calibri" w:hAnsi="Century Gothic" w:cs="Arial"/>
          <w:i/>
          <w:iCs/>
          <w:sz w:val="24"/>
          <w:szCs w:val="24"/>
          <w:lang w:eastAsia="es-MX"/>
        </w:rPr>
        <w:t xml:space="preserve">Fundación Carmen Sánchez </w:t>
      </w:r>
      <w:r w:rsidRPr="00C81209">
        <w:rPr>
          <w:rFonts w:ascii="Century Gothic" w:eastAsia="Calibri" w:hAnsi="Century Gothic" w:cs="Arial"/>
          <w:sz w:val="24"/>
          <w:szCs w:val="24"/>
          <w:lang w:eastAsia="es-MX"/>
        </w:rPr>
        <w:t xml:space="preserve">ha sostenido que el 50 por ciento de las víctimas son jóvenes de entre 20 y 30 años de edad, de las cuales el 59 por ciento ha tenido una relación sentimental con su victimario, sin embargo, en la actualidad el Estado mexicano al no tipificar dicho delito no cuenta con un sistema de información para contar con un diagnóstico claro de los casos y sus características en México. </w:t>
      </w:r>
    </w:p>
    <w:p w14:paraId="5304B292" w14:textId="2446FFCD" w:rsidR="00C81209" w:rsidRPr="00C81209" w:rsidRDefault="00C81209" w:rsidP="00C81209">
      <w:pPr>
        <w:ind w:right="283" w:firstLine="708"/>
        <w:jc w:val="both"/>
        <w:rPr>
          <w:rFonts w:ascii="Century Gothic" w:eastAsia="Calibri" w:hAnsi="Century Gothic" w:cs="Arial"/>
          <w:sz w:val="24"/>
          <w:szCs w:val="24"/>
          <w:lang w:eastAsia="es-MX"/>
        </w:rPr>
      </w:pPr>
      <w:r w:rsidRPr="00C81209">
        <w:rPr>
          <w:rFonts w:ascii="Century Gothic" w:eastAsia="Calibri" w:hAnsi="Century Gothic" w:cs="Arial"/>
          <w:sz w:val="24"/>
          <w:szCs w:val="24"/>
          <w:lang w:eastAsia="es-MX"/>
        </w:rPr>
        <w:t xml:space="preserve">Sobre las consecuencias de este tipo de ataques, la Universidad Complutense de Madrid destaca que las quemaduras producidas con ácido no </w:t>
      </w:r>
      <w:r w:rsidRPr="00C81209">
        <w:rPr>
          <w:rFonts w:ascii="Century Gothic" w:eastAsia="Calibri" w:hAnsi="Century Gothic" w:cs="Arial"/>
          <w:sz w:val="24"/>
          <w:szCs w:val="24"/>
          <w:lang w:eastAsia="es-MX"/>
        </w:rPr>
        <w:lastRenderedPageBreak/>
        <w:t>solamente causan cicatrices permanentes, sino que también afectan a algunos órganos vitales como los ojos en donde las personas llegan a perder la visión o produce una perforación del globo ocular.</w:t>
      </w:r>
    </w:p>
    <w:p w14:paraId="6FE09F8F" w14:textId="0CC3C5D8" w:rsidR="00C81209" w:rsidRPr="00C81209" w:rsidRDefault="00C81209" w:rsidP="00C81209">
      <w:pPr>
        <w:ind w:right="283" w:firstLine="708"/>
        <w:jc w:val="both"/>
        <w:rPr>
          <w:rFonts w:ascii="Century Gothic" w:eastAsia="Calibri" w:hAnsi="Century Gothic" w:cs="Arial"/>
          <w:sz w:val="24"/>
          <w:szCs w:val="24"/>
          <w:lang w:eastAsia="es-MX"/>
        </w:rPr>
      </w:pPr>
      <w:r w:rsidRPr="00C81209">
        <w:rPr>
          <w:rFonts w:ascii="Century Gothic" w:eastAsia="Calibri" w:hAnsi="Century Gothic" w:cs="Arial"/>
          <w:sz w:val="24"/>
          <w:szCs w:val="24"/>
          <w:lang w:eastAsia="es-MX"/>
        </w:rPr>
        <w:t>De hecho, las quemaduras ocasionadas con químicos afectan algunas zonas del cuerpo como la cara, el tórax, y las manos, quemaduras que dejan secuelas estéticas, pero que también dañan fisiológicamente el cuerp</w:t>
      </w:r>
      <w:r w:rsidR="00FB29A3">
        <w:rPr>
          <w:rFonts w:ascii="Century Gothic" w:eastAsia="Calibri" w:hAnsi="Century Gothic" w:cs="Arial"/>
          <w:sz w:val="24"/>
          <w:szCs w:val="24"/>
          <w:lang w:eastAsia="es-MX"/>
        </w:rPr>
        <w:t>o de las personas violentadas.</w:t>
      </w:r>
      <w:r w:rsidR="00FB29A3">
        <w:rPr>
          <w:rStyle w:val="Refdenotaalpie"/>
          <w:rFonts w:ascii="Century Gothic" w:eastAsia="Calibri" w:hAnsi="Century Gothic" w:cs="Arial"/>
          <w:sz w:val="24"/>
          <w:szCs w:val="24"/>
          <w:lang w:eastAsia="es-MX"/>
        </w:rPr>
        <w:footnoteReference w:id="5"/>
      </w:r>
    </w:p>
    <w:p w14:paraId="1756197A" w14:textId="5EF4ADC8" w:rsidR="00C81209" w:rsidRPr="00C81209" w:rsidRDefault="00C81209" w:rsidP="00C81209">
      <w:pPr>
        <w:ind w:right="283" w:firstLine="708"/>
        <w:jc w:val="both"/>
        <w:rPr>
          <w:rFonts w:ascii="Century Gothic" w:eastAsia="Calibri" w:hAnsi="Century Gothic" w:cs="Arial"/>
          <w:sz w:val="24"/>
          <w:szCs w:val="24"/>
          <w:lang w:eastAsia="es-MX"/>
        </w:rPr>
      </w:pPr>
      <w:r w:rsidRPr="00C81209">
        <w:rPr>
          <w:rFonts w:ascii="Century Gothic" w:eastAsia="Calibri" w:hAnsi="Century Gothic" w:cs="Arial"/>
          <w:sz w:val="24"/>
          <w:szCs w:val="24"/>
          <w:lang w:eastAsia="es-MX"/>
        </w:rPr>
        <w:t xml:space="preserve">El documento publicado por las Naciones Unidas como </w:t>
      </w:r>
      <w:r w:rsidRPr="00C81209">
        <w:rPr>
          <w:rFonts w:ascii="Century Gothic" w:eastAsia="Calibri" w:hAnsi="Century Gothic" w:cs="Arial"/>
          <w:i/>
          <w:iCs/>
          <w:sz w:val="24"/>
          <w:szCs w:val="24"/>
          <w:lang w:eastAsia="es-MX"/>
        </w:rPr>
        <w:t xml:space="preserve">Buenas prácticas en la legislación sobre las prácticas perjudiciales en contra de las mujeres </w:t>
      </w:r>
      <w:r w:rsidRPr="00C81209">
        <w:rPr>
          <w:rFonts w:ascii="Century Gothic" w:eastAsia="Calibri" w:hAnsi="Century Gothic" w:cs="Arial"/>
          <w:sz w:val="24"/>
          <w:szCs w:val="24"/>
          <w:lang w:eastAsia="es-MX"/>
        </w:rPr>
        <w:t>estipula que la legislación de los países debe definir el ataque con ácido como toda agresión cometida mediante el uso de ácido, independientemente de las ra</w:t>
      </w:r>
      <w:r w:rsidR="00FB29A3">
        <w:rPr>
          <w:rFonts w:ascii="Century Gothic" w:eastAsia="Calibri" w:hAnsi="Century Gothic" w:cs="Arial"/>
          <w:sz w:val="24"/>
          <w:szCs w:val="24"/>
          <w:lang w:eastAsia="es-MX"/>
        </w:rPr>
        <w:t>zones que motivaron el ataque.</w:t>
      </w:r>
      <w:r w:rsidR="00FB29A3">
        <w:rPr>
          <w:rStyle w:val="Refdenotaalpie"/>
          <w:rFonts w:ascii="Century Gothic" w:eastAsia="Calibri" w:hAnsi="Century Gothic" w:cs="Arial"/>
          <w:sz w:val="24"/>
          <w:szCs w:val="24"/>
          <w:lang w:eastAsia="es-MX"/>
        </w:rPr>
        <w:footnoteReference w:id="6"/>
      </w:r>
    </w:p>
    <w:p w14:paraId="5D1C1FC8" w14:textId="77777777" w:rsidR="00C81209" w:rsidRPr="00C81209" w:rsidRDefault="00C81209" w:rsidP="00C81209">
      <w:pPr>
        <w:ind w:right="283" w:firstLine="708"/>
        <w:jc w:val="both"/>
        <w:rPr>
          <w:rFonts w:ascii="Century Gothic" w:eastAsia="Calibri" w:hAnsi="Century Gothic" w:cs="Arial"/>
          <w:sz w:val="24"/>
          <w:szCs w:val="24"/>
          <w:lang w:eastAsia="es-MX"/>
        </w:rPr>
      </w:pPr>
      <w:r w:rsidRPr="00C81209">
        <w:rPr>
          <w:rFonts w:ascii="Century Gothic" w:eastAsia="Calibri" w:hAnsi="Century Gothic" w:cs="Arial"/>
          <w:sz w:val="24"/>
          <w:szCs w:val="24"/>
          <w:lang w:eastAsia="es-MX"/>
        </w:rPr>
        <w:t xml:space="preserve">A su vez, destaca que todo marco jurídico debe contemplar sanciones para aquellas personas que colaboran con dicha práctica nociva, así como aumentar las penas en caso de que la víctima llegara a fallecer como consecuencia directa del ataque. </w:t>
      </w:r>
    </w:p>
    <w:p w14:paraId="48DE30A5" w14:textId="1AFC19EB" w:rsidR="00C81209" w:rsidRPr="00C81209" w:rsidRDefault="00C81209" w:rsidP="00C81209">
      <w:pPr>
        <w:ind w:right="283" w:firstLine="708"/>
        <w:jc w:val="both"/>
        <w:rPr>
          <w:rFonts w:ascii="Century Gothic" w:eastAsia="Calibri" w:hAnsi="Century Gothic" w:cs="Arial"/>
          <w:sz w:val="24"/>
          <w:szCs w:val="24"/>
          <w:lang w:eastAsia="es-MX"/>
        </w:rPr>
      </w:pPr>
      <w:r w:rsidRPr="00C81209">
        <w:rPr>
          <w:rFonts w:ascii="Century Gothic" w:eastAsia="Calibri" w:hAnsi="Century Gothic" w:cs="Arial"/>
          <w:sz w:val="24"/>
          <w:szCs w:val="24"/>
          <w:lang w:eastAsia="es-MX"/>
        </w:rPr>
        <w:t>Entre otras recomendaciones emitidas por la ONU, destaca también que corresponde a los gobiernos establecer y financiar campañas de sensibilización de la ciudadanía en general y la educación de todos los sectores poblacionales sobre las consecuencias de dichas prácticas.</w:t>
      </w:r>
    </w:p>
    <w:p w14:paraId="03E88D9B" w14:textId="03ECA4B3" w:rsidR="00C81209" w:rsidRPr="00C81209" w:rsidRDefault="00C81209" w:rsidP="00C81209">
      <w:pPr>
        <w:ind w:right="283" w:firstLine="708"/>
        <w:jc w:val="both"/>
        <w:rPr>
          <w:rFonts w:ascii="Century Gothic" w:eastAsia="Calibri" w:hAnsi="Century Gothic" w:cs="Arial"/>
          <w:sz w:val="24"/>
          <w:szCs w:val="24"/>
          <w:lang w:eastAsia="es-MX"/>
        </w:rPr>
      </w:pPr>
      <w:r w:rsidRPr="00C81209">
        <w:rPr>
          <w:rFonts w:ascii="Century Gothic" w:eastAsia="Calibri" w:hAnsi="Century Gothic" w:cs="Arial"/>
          <w:sz w:val="24"/>
          <w:szCs w:val="24"/>
          <w:lang w:eastAsia="es-MX"/>
        </w:rPr>
        <w:t>En este caso el uso de sustancias químicas o corrosivas para causar un daño físico a las mujeres se entiende como violencia física, en tanto, es un daño no accidental que implica la utilización de un objeto para provocar</w:t>
      </w:r>
      <w:r w:rsidR="005E6710">
        <w:rPr>
          <w:rFonts w:ascii="Century Gothic" w:eastAsia="Calibri" w:hAnsi="Century Gothic" w:cs="Arial"/>
          <w:sz w:val="24"/>
          <w:szCs w:val="24"/>
          <w:lang w:eastAsia="es-MX"/>
        </w:rPr>
        <w:t xml:space="preserve"> lesiones internas o externas. </w:t>
      </w:r>
      <w:r w:rsidR="005E6710">
        <w:rPr>
          <w:rStyle w:val="Refdenotaalpie"/>
          <w:rFonts w:ascii="Century Gothic" w:eastAsia="Calibri" w:hAnsi="Century Gothic" w:cs="Arial"/>
          <w:sz w:val="24"/>
          <w:szCs w:val="24"/>
          <w:lang w:eastAsia="es-MX"/>
        </w:rPr>
        <w:footnoteReference w:id="7"/>
      </w:r>
      <w:r w:rsidRPr="00C81209">
        <w:rPr>
          <w:rFonts w:ascii="Century Gothic" w:eastAsia="Calibri" w:hAnsi="Century Gothic" w:cs="Arial"/>
          <w:sz w:val="24"/>
          <w:szCs w:val="24"/>
          <w:lang w:eastAsia="es-MX"/>
        </w:rPr>
        <w:t xml:space="preserve"> </w:t>
      </w:r>
    </w:p>
    <w:p w14:paraId="0B8D2C55" w14:textId="77777777" w:rsidR="00C81209" w:rsidRPr="00C81209" w:rsidRDefault="00C81209" w:rsidP="00C81209">
      <w:pPr>
        <w:ind w:right="283" w:firstLine="708"/>
        <w:jc w:val="both"/>
        <w:rPr>
          <w:rFonts w:ascii="Century Gothic" w:eastAsia="Calibri" w:hAnsi="Century Gothic" w:cs="Arial"/>
          <w:sz w:val="24"/>
          <w:szCs w:val="24"/>
          <w:lang w:eastAsia="es-MX"/>
        </w:rPr>
      </w:pPr>
      <w:r w:rsidRPr="00C81209">
        <w:rPr>
          <w:rFonts w:ascii="Century Gothic" w:eastAsia="Calibri" w:hAnsi="Century Gothic" w:cs="Arial"/>
          <w:sz w:val="24"/>
          <w:szCs w:val="24"/>
          <w:lang w:eastAsia="es-MX"/>
        </w:rPr>
        <w:t xml:space="preserve">Dichos ataques deben ser comprendidos como violencia de género, toda vez que como se ha mencionado previamente, la mayor parte de estos ocurren principalmente en contra de las mujeres, y se cometen por el simple hecho de ser mujeres o por no cumplir un rol que culturalmente les ha sido asignado. </w:t>
      </w:r>
    </w:p>
    <w:p w14:paraId="07F87EA7" w14:textId="77777777" w:rsidR="00C81209" w:rsidRPr="00C81209" w:rsidRDefault="00C81209" w:rsidP="0018204C">
      <w:pPr>
        <w:ind w:right="283" w:firstLine="708"/>
        <w:jc w:val="both"/>
        <w:rPr>
          <w:rFonts w:ascii="Century Gothic" w:eastAsia="Calibri" w:hAnsi="Century Gothic" w:cs="Arial"/>
          <w:sz w:val="24"/>
          <w:szCs w:val="24"/>
          <w:lang w:eastAsia="es-MX"/>
        </w:rPr>
      </w:pPr>
      <w:r w:rsidRPr="00C81209">
        <w:rPr>
          <w:rFonts w:ascii="Century Gothic" w:eastAsia="Calibri" w:hAnsi="Century Gothic" w:cs="Arial"/>
          <w:sz w:val="24"/>
          <w:szCs w:val="24"/>
          <w:lang w:eastAsia="es-MX"/>
        </w:rPr>
        <w:lastRenderedPageBreak/>
        <w:t xml:space="preserve">Resulta fundamental mencionar que el Código Penal federal en su artículo 288 dispone que se entiende por lesión, a las heridas, escoriaciones, contusiones, fracturas, dislocaciones, quemaduras, es decir, ya se contemplan este tipo de daños físicos, sin embargo, falta establecer como agravante cuando se utilicen otro tipo de medios como los comentados en estas consideraciones. </w:t>
      </w:r>
    </w:p>
    <w:p w14:paraId="631F7C9F" w14:textId="77777777" w:rsidR="00C81209" w:rsidRPr="00C81209" w:rsidRDefault="00C81209" w:rsidP="00C81209">
      <w:pPr>
        <w:ind w:right="283" w:firstLine="708"/>
        <w:jc w:val="both"/>
        <w:rPr>
          <w:rFonts w:ascii="Century Gothic" w:eastAsia="Calibri" w:hAnsi="Century Gothic" w:cs="Arial"/>
          <w:sz w:val="24"/>
          <w:szCs w:val="24"/>
          <w:lang w:eastAsia="es-MX"/>
        </w:rPr>
      </w:pPr>
      <w:r w:rsidRPr="00C81209">
        <w:rPr>
          <w:rFonts w:ascii="Century Gothic" w:eastAsia="Calibri" w:hAnsi="Century Gothic" w:cs="Arial"/>
          <w:sz w:val="24"/>
          <w:szCs w:val="24"/>
          <w:lang w:eastAsia="es-MX"/>
        </w:rPr>
        <w:t xml:space="preserve">El artículo 14 de la Constitución Política de los Estados Unidos Mexicanos establece en su párrafo tercero, que en los juicios de orden criminal la imposición de penas no se puede realizar por simple analogía, sino que estas deben encontrarse plasmadas en las leyes que sean aplicables al delito del cual se trate. </w:t>
      </w:r>
    </w:p>
    <w:p w14:paraId="3E5FDC28" w14:textId="36B9EBB7" w:rsidR="00C81209" w:rsidRPr="00C81209" w:rsidRDefault="00C81209" w:rsidP="00C81209">
      <w:pPr>
        <w:ind w:right="283" w:firstLine="708"/>
        <w:jc w:val="both"/>
        <w:rPr>
          <w:rFonts w:ascii="Century Gothic" w:eastAsia="Calibri" w:hAnsi="Century Gothic" w:cs="Arial"/>
          <w:sz w:val="24"/>
          <w:szCs w:val="24"/>
          <w:lang w:eastAsia="es-MX"/>
        </w:rPr>
      </w:pPr>
      <w:r w:rsidRPr="00C81209">
        <w:rPr>
          <w:rFonts w:ascii="Century Gothic" w:eastAsia="Calibri" w:hAnsi="Century Gothic" w:cs="Arial"/>
          <w:sz w:val="24"/>
          <w:szCs w:val="24"/>
          <w:lang w:eastAsia="es-MX"/>
        </w:rPr>
        <w:t>De acuerdo con la línea jurisprudencial definida por la Suprema Corte de Justicia de la Nación, en el caso de la asignación de penas se debe analizar que existe proporción y razonabilidad suficiente entre la cuantía de la pena y la gravedad del delito cometido, así como que la pena sea individualiza</w:t>
      </w:r>
      <w:r w:rsidR="005E6710">
        <w:rPr>
          <w:rFonts w:ascii="Century Gothic" w:eastAsia="Calibri" w:hAnsi="Century Gothic" w:cs="Arial"/>
          <w:sz w:val="24"/>
          <w:szCs w:val="24"/>
          <w:lang w:eastAsia="es-MX"/>
        </w:rPr>
        <w:t>da entre un mínimo y un máximo.</w:t>
      </w:r>
      <w:r w:rsidR="005E6710">
        <w:rPr>
          <w:rStyle w:val="Refdenotaalpie"/>
          <w:rFonts w:ascii="Century Gothic" w:eastAsia="Calibri" w:hAnsi="Century Gothic" w:cs="Arial"/>
          <w:sz w:val="24"/>
          <w:szCs w:val="24"/>
          <w:lang w:eastAsia="es-MX"/>
        </w:rPr>
        <w:footnoteReference w:id="8"/>
      </w:r>
    </w:p>
    <w:p w14:paraId="2AA3F9C3" w14:textId="041D7776" w:rsidR="00C81209" w:rsidRPr="00C81209" w:rsidRDefault="00C81209" w:rsidP="00C81209">
      <w:pPr>
        <w:ind w:right="283" w:firstLine="708"/>
        <w:jc w:val="both"/>
        <w:rPr>
          <w:rFonts w:ascii="Century Gothic" w:eastAsia="Calibri" w:hAnsi="Century Gothic" w:cs="Arial"/>
          <w:sz w:val="24"/>
          <w:szCs w:val="24"/>
          <w:lang w:eastAsia="es-MX"/>
        </w:rPr>
      </w:pPr>
      <w:r w:rsidRPr="00C81209">
        <w:rPr>
          <w:rFonts w:ascii="Century Gothic" w:eastAsia="Calibri" w:hAnsi="Century Gothic" w:cs="Arial"/>
          <w:sz w:val="24"/>
          <w:szCs w:val="24"/>
          <w:lang w:eastAsia="es-MX"/>
        </w:rPr>
        <w:t>En la acción de inconstitucionalidad 97/2019, el Tribunal Constitucional dispuso que “la proporcionalidad en abstracto de la pena se determina atendiendo a varios factores: la importancia del bien jurídico protegido, la gravedad del ataque a ese bien, el ámbito de responsabilidad subjetiva. Por su parte, el juez penal es el encargado de determinar la proporcionalidad en concreto de la pena. El legislador debe proporcionar un marco penal abstracto que permita al juzgador individualizar la pena, teniendo en cuenta las circunstancias concretas del c</w:t>
      </w:r>
      <w:r w:rsidR="005E6710">
        <w:rPr>
          <w:rFonts w:ascii="Century Gothic" w:eastAsia="Calibri" w:hAnsi="Century Gothic" w:cs="Arial"/>
          <w:sz w:val="24"/>
          <w:szCs w:val="24"/>
          <w:lang w:eastAsia="es-MX"/>
        </w:rPr>
        <w:t>aso”.</w:t>
      </w:r>
      <w:r w:rsidR="005E6710">
        <w:rPr>
          <w:rStyle w:val="Refdenotaalpie"/>
          <w:rFonts w:ascii="Century Gothic" w:eastAsia="Calibri" w:hAnsi="Century Gothic" w:cs="Arial"/>
          <w:sz w:val="24"/>
          <w:szCs w:val="24"/>
          <w:lang w:eastAsia="es-MX"/>
        </w:rPr>
        <w:footnoteReference w:id="9"/>
      </w:r>
    </w:p>
    <w:p w14:paraId="549ABCFF" w14:textId="30C1AE95" w:rsidR="00C81209" w:rsidRDefault="00C81209" w:rsidP="00C81209">
      <w:pPr>
        <w:ind w:right="283" w:firstLine="708"/>
        <w:jc w:val="both"/>
        <w:rPr>
          <w:rFonts w:ascii="Century Gothic" w:eastAsia="Calibri" w:hAnsi="Century Gothic" w:cs="Arial"/>
          <w:sz w:val="24"/>
          <w:szCs w:val="24"/>
          <w:lang w:eastAsia="es-MX"/>
        </w:rPr>
      </w:pPr>
      <w:r w:rsidRPr="00C81209">
        <w:rPr>
          <w:rFonts w:ascii="Century Gothic" w:eastAsia="Calibri" w:hAnsi="Century Gothic" w:cs="Arial"/>
          <w:sz w:val="24"/>
          <w:szCs w:val="24"/>
          <w:lang w:eastAsia="es-MX"/>
        </w:rPr>
        <w:t>Por su parte, la tesis que lleva por título “PENAS Y SISTEMA PARA SU APLICACIÓN, CORRESPONDE AL PODER LEGISLATIVO JUSTIFICAR EN TODOS LOS CASOS Y EN FORMA EXPRESA, LAS RAZONES DE</w:t>
      </w:r>
      <w:r w:rsidR="005E6710">
        <w:rPr>
          <w:rFonts w:ascii="Century Gothic" w:eastAsia="Calibri" w:hAnsi="Century Gothic" w:cs="Arial"/>
          <w:sz w:val="24"/>
          <w:szCs w:val="24"/>
          <w:lang w:eastAsia="es-MX"/>
        </w:rPr>
        <w:t xml:space="preserve"> SU ESTABLECIMIENTO EN LA LEY”</w:t>
      </w:r>
      <w:r w:rsidR="005E6710">
        <w:rPr>
          <w:rStyle w:val="Refdenotaalpie"/>
          <w:rFonts w:ascii="Century Gothic" w:eastAsia="Calibri" w:hAnsi="Century Gothic" w:cs="Arial"/>
          <w:sz w:val="24"/>
          <w:szCs w:val="24"/>
          <w:lang w:eastAsia="es-MX"/>
        </w:rPr>
        <w:footnoteReference w:id="10"/>
      </w:r>
      <w:r w:rsidRPr="00C81209">
        <w:rPr>
          <w:rFonts w:ascii="Century Gothic" w:eastAsia="Calibri" w:hAnsi="Century Gothic" w:cs="Arial"/>
          <w:sz w:val="24"/>
          <w:szCs w:val="24"/>
          <w:lang w:eastAsia="es-MX"/>
        </w:rPr>
        <w:t xml:space="preserve">, ha dispuesto que las y los legisladores deben expresar en sus iniciativas de ley las razones del establecimiento de las penas y su relación con el daño que causa al bien jurídico protegido. </w:t>
      </w:r>
    </w:p>
    <w:p w14:paraId="1C2B3DA6" w14:textId="1F582D22" w:rsidR="007F0C5A" w:rsidRPr="007F0C5A" w:rsidRDefault="005E6710" w:rsidP="007F0C5A">
      <w:pPr>
        <w:ind w:right="283" w:firstLine="708"/>
        <w:jc w:val="both"/>
        <w:rPr>
          <w:rFonts w:ascii="Century Gothic" w:eastAsia="Calibri" w:hAnsi="Century Gothic" w:cs="Arial"/>
          <w:sz w:val="24"/>
          <w:szCs w:val="24"/>
          <w:lang w:eastAsia="es-MX"/>
        </w:rPr>
      </w:pPr>
      <w:r>
        <w:rPr>
          <w:rFonts w:ascii="Century Gothic" w:eastAsia="Calibri" w:hAnsi="Century Gothic" w:cs="Arial"/>
          <w:sz w:val="24"/>
          <w:szCs w:val="24"/>
          <w:lang w:eastAsia="es-MX"/>
        </w:rPr>
        <w:lastRenderedPageBreak/>
        <w:t xml:space="preserve">Por lo tanto. </w:t>
      </w:r>
      <w:proofErr w:type="gramStart"/>
      <w:r>
        <w:rPr>
          <w:rFonts w:ascii="Century Gothic" w:eastAsia="Calibri" w:hAnsi="Century Gothic" w:cs="Arial"/>
          <w:sz w:val="24"/>
          <w:szCs w:val="24"/>
          <w:lang w:eastAsia="es-MX"/>
        </w:rPr>
        <w:t>l</w:t>
      </w:r>
      <w:r w:rsidR="007F0C5A" w:rsidRPr="007F0C5A">
        <w:rPr>
          <w:rFonts w:ascii="Century Gothic" w:eastAsia="Calibri" w:hAnsi="Century Gothic" w:cs="Arial"/>
          <w:sz w:val="24"/>
          <w:szCs w:val="24"/>
          <w:lang w:eastAsia="es-MX"/>
        </w:rPr>
        <w:t>a</w:t>
      </w:r>
      <w:proofErr w:type="gramEnd"/>
      <w:r w:rsidR="007F0C5A" w:rsidRPr="007F0C5A">
        <w:rPr>
          <w:rFonts w:ascii="Century Gothic" w:eastAsia="Calibri" w:hAnsi="Century Gothic" w:cs="Arial"/>
          <w:sz w:val="24"/>
          <w:szCs w:val="24"/>
          <w:lang w:eastAsia="es-MX"/>
        </w:rPr>
        <w:t xml:space="preserve"> redacción propuesta estípula el término de ácidos, en tanto se pueda englobar a distintos desagregados de estos químicos como lo pueden ser el ácido sulfúrico, el ácido nítrico y el ácido clorhídrico, que de acuerdo con el </w:t>
      </w:r>
      <w:proofErr w:type="spellStart"/>
      <w:r w:rsidR="007F0C5A" w:rsidRPr="007F0C5A">
        <w:rPr>
          <w:rFonts w:ascii="Century Gothic" w:eastAsia="Calibri" w:hAnsi="Century Gothic" w:cs="Arial"/>
          <w:i/>
          <w:iCs/>
          <w:sz w:val="24"/>
          <w:szCs w:val="24"/>
          <w:lang w:eastAsia="es-MX"/>
        </w:rPr>
        <w:t>Acid</w:t>
      </w:r>
      <w:proofErr w:type="spellEnd"/>
      <w:r w:rsidR="007F0C5A" w:rsidRPr="007F0C5A">
        <w:rPr>
          <w:rFonts w:ascii="Century Gothic" w:eastAsia="Calibri" w:hAnsi="Century Gothic" w:cs="Arial"/>
          <w:i/>
          <w:iCs/>
          <w:sz w:val="24"/>
          <w:szCs w:val="24"/>
          <w:lang w:eastAsia="es-MX"/>
        </w:rPr>
        <w:t xml:space="preserve"> </w:t>
      </w:r>
      <w:proofErr w:type="spellStart"/>
      <w:r w:rsidR="007F0C5A" w:rsidRPr="007F0C5A">
        <w:rPr>
          <w:rFonts w:ascii="Century Gothic" w:eastAsia="Calibri" w:hAnsi="Century Gothic" w:cs="Arial"/>
          <w:i/>
          <w:iCs/>
          <w:sz w:val="24"/>
          <w:szCs w:val="24"/>
          <w:lang w:eastAsia="es-MX"/>
        </w:rPr>
        <w:t>Survivors</w:t>
      </w:r>
      <w:proofErr w:type="spellEnd"/>
      <w:r w:rsidR="007F0C5A" w:rsidRPr="007F0C5A">
        <w:rPr>
          <w:rFonts w:ascii="Century Gothic" w:eastAsia="Calibri" w:hAnsi="Century Gothic" w:cs="Arial"/>
          <w:i/>
          <w:iCs/>
          <w:sz w:val="24"/>
          <w:szCs w:val="24"/>
          <w:lang w:eastAsia="es-MX"/>
        </w:rPr>
        <w:t xml:space="preserve"> Trust International </w:t>
      </w:r>
      <w:r w:rsidR="007F0C5A" w:rsidRPr="007F0C5A">
        <w:rPr>
          <w:rFonts w:ascii="Century Gothic" w:eastAsia="Calibri" w:hAnsi="Century Gothic" w:cs="Arial"/>
          <w:sz w:val="24"/>
          <w:szCs w:val="24"/>
          <w:lang w:eastAsia="es-MX"/>
        </w:rPr>
        <w:t xml:space="preserve">son las principales sustancias químicas que se utilizan para efectuar este tipo de ataques. </w:t>
      </w:r>
    </w:p>
    <w:p w14:paraId="41E8D7C1" w14:textId="45CF6496" w:rsidR="007F0C5A" w:rsidRPr="007F0C5A" w:rsidRDefault="007F0C5A" w:rsidP="007F0C5A">
      <w:pPr>
        <w:ind w:right="283" w:firstLine="708"/>
        <w:jc w:val="both"/>
        <w:rPr>
          <w:rFonts w:ascii="Century Gothic" w:eastAsia="Calibri" w:hAnsi="Century Gothic" w:cs="Arial"/>
          <w:sz w:val="24"/>
          <w:szCs w:val="24"/>
          <w:lang w:eastAsia="es-MX"/>
        </w:rPr>
      </w:pPr>
      <w:r w:rsidRPr="007F0C5A">
        <w:rPr>
          <w:rFonts w:ascii="Century Gothic" w:eastAsia="Calibri" w:hAnsi="Century Gothic" w:cs="Arial"/>
          <w:sz w:val="24"/>
          <w:szCs w:val="24"/>
          <w:lang w:eastAsia="es-MX"/>
        </w:rPr>
        <w:t xml:space="preserve">En términos del </w:t>
      </w:r>
      <w:r w:rsidRPr="007F0C5A">
        <w:rPr>
          <w:rFonts w:ascii="Century Gothic" w:eastAsia="Calibri" w:hAnsi="Century Gothic" w:cs="Arial"/>
          <w:i/>
          <w:iCs/>
          <w:sz w:val="24"/>
          <w:szCs w:val="24"/>
          <w:lang w:eastAsia="es-MX"/>
        </w:rPr>
        <w:t xml:space="preserve">Acuerdo por el que se reforman y adicionan diversas disposiciones del Instituto número 9 relativo a las condiciones de seguridad e higiene para el almacenamiento, transporte y manejo de sustancias corrosivas, irritantes y tóxicas en los centros de trabajo, </w:t>
      </w:r>
      <w:r w:rsidRPr="007F0C5A">
        <w:rPr>
          <w:rFonts w:ascii="Century Gothic" w:eastAsia="Calibri" w:hAnsi="Century Gothic" w:cs="Arial"/>
          <w:sz w:val="24"/>
          <w:szCs w:val="24"/>
          <w:lang w:eastAsia="es-MX"/>
        </w:rPr>
        <w:t>se debe comprender por sustancia corrosiva aquella “que causa destrucción visible o alteraciones irreversibles en el tejido vivo por acción quí</w:t>
      </w:r>
      <w:r w:rsidR="005E6710">
        <w:rPr>
          <w:rFonts w:ascii="Century Gothic" w:eastAsia="Calibri" w:hAnsi="Century Gothic" w:cs="Arial"/>
          <w:sz w:val="24"/>
          <w:szCs w:val="24"/>
          <w:lang w:eastAsia="es-MX"/>
        </w:rPr>
        <w:t>mica en el sitio de contacto”.</w:t>
      </w:r>
      <w:r w:rsidR="005E6710">
        <w:rPr>
          <w:rStyle w:val="Refdenotaalpie"/>
          <w:rFonts w:ascii="Century Gothic" w:eastAsia="Calibri" w:hAnsi="Century Gothic" w:cs="Arial"/>
          <w:sz w:val="24"/>
          <w:szCs w:val="24"/>
          <w:lang w:eastAsia="es-MX"/>
        </w:rPr>
        <w:footnoteReference w:id="11"/>
      </w:r>
      <w:r w:rsidRPr="007F0C5A">
        <w:rPr>
          <w:rFonts w:ascii="Century Gothic" w:eastAsia="Calibri" w:hAnsi="Century Gothic" w:cs="Arial"/>
          <w:sz w:val="24"/>
          <w:szCs w:val="24"/>
          <w:lang w:eastAsia="es-MX"/>
        </w:rPr>
        <w:t xml:space="preserve"> Esta propuesta busca incluir a todas aquellas sustancias químicas no comprendidas dentro de la categoría de los ácidos comentados.</w:t>
      </w:r>
    </w:p>
    <w:p w14:paraId="1CA9E7C6" w14:textId="6014E7DD" w:rsidR="007F0C5A" w:rsidRDefault="007F0C5A" w:rsidP="007F0C5A">
      <w:pPr>
        <w:ind w:right="283" w:firstLine="708"/>
        <w:jc w:val="both"/>
        <w:rPr>
          <w:rFonts w:ascii="Century Gothic" w:eastAsia="Calibri" w:hAnsi="Century Gothic" w:cs="Arial"/>
          <w:sz w:val="24"/>
          <w:szCs w:val="24"/>
          <w:lang w:eastAsia="es-MX"/>
        </w:rPr>
      </w:pPr>
      <w:r>
        <w:rPr>
          <w:rFonts w:ascii="Century Gothic" w:eastAsia="Calibri" w:hAnsi="Century Gothic" w:cs="Arial"/>
          <w:sz w:val="24"/>
          <w:szCs w:val="24"/>
          <w:lang w:eastAsia="es-MX"/>
        </w:rPr>
        <w:t>Por otro lado,</w:t>
      </w:r>
      <w:r w:rsidRPr="007F0C5A">
        <w:rPr>
          <w:rFonts w:ascii="Century Gothic" w:eastAsia="Calibri" w:hAnsi="Century Gothic" w:cs="Arial"/>
          <w:sz w:val="24"/>
          <w:szCs w:val="24"/>
          <w:lang w:eastAsia="es-MX"/>
        </w:rPr>
        <w:t xml:space="preserve"> es importante que la norma contemple la tesis “IMPARTICIÓN DE JUSTICIA CON PERSPECTIVA DE GÉNERO. DEBE APLICARSE ESTE MÉTODO ANALÍTICO EN TODOS LOS CASOS QUE INVOLUCREN RELACIONES ASIMÉTRICAS, PREJUICIOS Y PATRONES ESTEREOTÍPICOS, INDEPENDIENTEMENTE DEL GÉNERO</w:t>
      </w:r>
      <w:r w:rsidR="005E6710">
        <w:rPr>
          <w:rFonts w:ascii="Century Gothic" w:eastAsia="Calibri" w:hAnsi="Century Gothic" w:cs="Arial"/>
          <w:sz w:val="24"/>
          <w:szCs w:val="24"/>
          <w:lang w:eastAsia="es-MX"/>
        </w:rPr>
        <w:t xml:space="preserve"> DE LAS PERSONAS INVOLUCRADAS”</w:t>
      </w:r>
      <w:r w:rsidR="005E6710">
        <w:rPr>
          <w:rStyle w:val="Refdenotaalpie"/>
          <w:rFonts w:ascii="Century Gothic" w:eastAsia="Calibri" w:hAnsi="Century Gothic" w:cs="Arial"/>
          <w:sz w:val="24"/>
          <w:szCs w:val="24"/>
          <w:lang w:eastAsia="es-MX"/>
        </w:rPr>
        <w:footnoteReference w:id="12"/>
      </w:r>
      <w:r w:rsidRPr="007F0C5A">
        <w:rPr>
          <w:rFonts w:ascii="Century Gothic" w:eastAsia="Calibri" w:hAnsi="Century Gothic" w:cs="Arial"/>
          <w:sz w:val="24"/>
          <w:szCs w:val="24"/>
          <w:lang w:eastAsia="es-MX"/>
        </w:rPr>
        <w:t xml:space="preserve">, en donde se parte del supuesto que existen actos que afectan de forma diferenciada a las mujeres, ya que estas involucran relaciones asimétricas, prejuicios y estereotipos, como se ha mencionado previamente, ya que de los atentados con ácidos y sustancias corrosivas las principales víctimas son mujeres, es decir, es una acción deliberada en razón de género. </w:t>
      </w:r>
    </w:p>
    <w:p w14:paraId="1B5B89D9" w14:textId="519A780B" w:rsidR="007F0C5A" w:rsidRPr="007F0C5A" w:rsidRDefault="007F0C5A" w:rsidP="007F0C5A">
      <w:pPr>
        <w:ind w:right="283" w:firstLine="708"/>
        <w:jc w:val="both"/>
        <w:rPr>
          <w:rFonts w:ascii="Century Gothic" w:eastAsia="Calibri" w:hAnsi="Century Gothic" w:cs="Arial"/>
          <w:sz w:val="24"/>
          <w:szCs w:val="24"/>
          <w:lang w:eastAsia="es-MX"/>
        </w:rPr>
      </w:pPr>
      <w:r>
        <w:rPr>
          <w:rFonts w:ascii="Century Gothic" w:eastAsia="Calibri" w:hAnsi="Century Gothic" w:cs="Arial"/>
          <w:sz w:val="24"/>
          <w:szCs w:val="24"/>
          <w:lang w:eastAsia="es-MX"/>
        </w:rPr>
        <w:t>De este modo, siendo q</w:t>
      </w:r>
      <w:r w:rsidRPr="007F0C5A">
        <w:rPr>
          <w:rFonts w:ascii="Century Gothic" w:eastAsia="Calibri" w:hAnsi="Century Gothic" w:cs="Arial"/>
          <w:sz w:val="24"/>
          <w:szCs w:val="24"/>
          <w:lang w:eastAsia="es-MX"/>
        </w:rPr>
        <w:t xml:space="preserve">ue, el Consejo Nacional para Prevenir la Discriminación, ha señalado que los ataques con ácido en la cara, es la marca de la posesión machista, agresiones con una altísima carga simbólica, ya que pretenden marcar de por vida. Dejar en el rostro desfigurado y en el cuerpo de la víctima la estampa de su crimen, de sus celos, de su odio. Una huella imborrable y dramática. El ácido y otras sustancias abrasivas son utilizadas en muchos países como un arma que no solo pretende causar un sufrimiento físico enorme —o, </w:t>
      </w:r>
      <w:r w:rsidRPr="007F0C5A">
        <w:rPr>
          <w:rFonts w:ascii="Century Gothic" w:eastAsia="Calibri" w:hAnsi="Century Gothic" w:cs="Arial"/>
          <w:sz w:val="24"/>
          <w:szCs w:val="24"/>
          <w:lang w:eastAsia="es-MX"/>
        </w:rPr>
        <w:lastRenderedPageBreak/>
        <w:t>incluso, la muerte, sino también para imponerle una condena social que la acompañará de por vida. Al mirarse al espejo, al observar las reacciones de los otros. Es la marca de la posesión. Una firma ardiente que lastra la vida, o lo que queda de ella, de miles d</w:t>
      </w:r>
      <w:r w:rsidR="005E6710">
        <w:rPr>
          <w:rFonts w:ascii="Century Gothic" w:eastAsia="Calibri" w:hAnsi="Century Gothic" w:cs="Arial"/>
          <w:sz w:val="24"/>
          <w:szCs w:val="24"/>
          <w:lang w:eastAsia="es-MX"/>
        </w:rPr>
        <w:t xml:space="preserve">e mujeres en todo el mundo. </w:t>
      </w:r>
      <w:r w:rsidR="005E6710">
        <w:rPr>
          <w:rStyle w:val="Refdenotaalpie"/>
          <w:rFonts w:ascii="Century Gothic" w:eastAsia="Calibri" w:hAnsi="Century Gothic" w:cs="Arial"/>
          <w:sz w:val="24"/>
          <w:szCs w:val="24"/>
          <w:lang w:eastAsia="es-MX"/>
        </w:rPr>
        <w:footnoteReference w:id="13"/>
      </w:r>
    </w:p>
    <w:p w14:paraId="21C40660" w14:textId="77777777" w:rsidR="007F0C5A" w:rsidRPr="007F0C5A" w:rsidRDefault="007F0C5A" w:rsidP="007F0C5A">
      <w:pPr>
        <w:ind w:right="283" w:firstLine="708"/>
        <w:jc w:val="both"/>
        <w:rPr>
          <w:rFonts w:ascii="Century Gothic" w:eastAsia="Calibri" w:hAnsi="Century Gothic" w:cs="Arial"/>
          <w:sz w:val="24"/>
          <w:szCs w:val="24"/>
          <w:lang w:eastAsia="es-MX"/>
        </w:rPr>
      </w:pPr>
      <w:r w:rsidRPr="007F0C5A">
        <w:rPr>
          <w:rFonts w:ascii="Century Gothic" w:eastAsia="Calibri" w:hAnsi="Century Gothic" w:cs="Arial"/>
          <w:sz w:val="24"/>
          <w:szCs w:val="24"/>
          <w:lang w:eastAsia="es-MX"/>
        </w:rPr>
        <w:t>Que, para la Organización Mundial de la Salud (OMS) las quemaduras no fatales representan una de las causas principales de morbilidad, las quemaduras químicas producen una destrucción de tejidos que es posible que se extienda lentamente en el organismo durante horas y pueden ser ocasionadas por ácidos o bases fuertes.</w:t>
      </w:r>
    </w:p>
    <w:p w14:paraId="783561B8" w14:textId="388CD771" w:rsidR="007F0C5A" w:rsidRPr="007F0C5A" w:rsidRDefault="007F0C5A" w:rsidP="007F0C5A">
      <w:pPr>
        <w:ind w:right="283" w:firstLine="708"/>
        <w:jc w:val="both"/>
        <w:rPr>
          <w:rFonts w:ascii="Century Gothic" w:eastAsia="Calibri" w:hAnsi="Century Gothic" w:cs="Arial"/>
          <w:sz w:val="24"/>
          <w:szCs w:val="24"/>
          <w:lang w:eastAsia="es-MX"/>
        </w:rPr>
      </w:pPr>
      <w:r w:rsidRPr="007F0C5A">
        <w:rPr>
          <w:rFonts w:ascii="Century Gothic" w:eastAsia="Calibri" w:hAnsi="Century Gothic" w:cs="Arial"/>
          <w:sz w:val="24"/>
          <w:szCs w:val="24"/>
          <w:lang w:eastAsia="es-MX"/>
        </w:rPr>
        <w:t>Que, los ataques con agentes químicos se definen como el acto de lanzar ácido o una sustancia corrosiva similar en el cuerpo de otra persona, con la intención de desfigurarla, mutilarla, torturarla o matarla. Los perpetradores de estos ataques arrojan ácido usualmente al rostro de sus víctimas, quemándolo y dañando el tejido de la piel, a veces exponiendo y disolviendo los huesos. Los tipos más comunes de ácido usados en este tipo de ataques son el sulfúrico, el nítrico y el hidroclórico. Las consecuencias a largo plazo de estos ataques incluyen ceguera, cicatrices permanentes en cara y cuerpo, así como dificultades social</w:t>
      </w:r>
      <w:r w:rsidR="005E6710">
        <w:rPr>
          <w:rFonts w:ascii="Century Gothic" w:eastAsia="Calibri" w:hAnsi="Century Gothic" w:cs="Arial"/>
          <w:sz w:val="24"/>
          <w:szCs w:val="24"/>
          <w:lang w:eastAsia="es-MX"/>
        </w:rPr>
        <w:t>es, psicológicas y económicas.</w:t>
      </w:r>
      <w:r w:rsidR="005E6710">
        <w:rPr>
          <w:rStyle w:val="Refdenotaalpie"/>
          <w:rFonts w:ascii="Century Gothic" w:eastAsia="Calibri" w:hAnsi="Century Gothic" w:cs="Arial"/>
          <w:sz w:val="24"/>
          <w:szCs w:val="24"/>
          <w:lang w:eastAsia="es-MX"/>
        </w:rPr>
        <w:footnoteReference w:id="14"/>
      </w:r>
    </w:p>
    <w:p w14:paraId="32F2CFAC" w14:textId="77777777" w:rsidR="007F0C5A" w:rsidRPr="007F0C5A" w:rsidRDefault="007F0C5A" w:rsidP="007F0C5A">
      <w:pPr>
        <w:ind w:right="283" w:firstLine="708"/>
        <w:jc w:val="both"/>
        <w:rPr>
          <w:rFonts w:ascii="Century Gothic" w:eastAsia="Calibri" w:hAnsi="Century Gothic" w:cs="Arial"/>
          <w:sz w:val="24"/>
          <w:szCs w:val="24"/>
          <w:lang w:eastAsia="es-MX"/>
        </w:rPr>
      </w:pPr>
      <w:r w:rsidRPr="007F0C5A">
        <w:rPr>
          <w:rFonts w:ascii="Century Gothic" w:eastAsia="Calibri" w:hAnsi="Century Gothic" w:cs="Arial"/>
          <w:sz w:val="24"/>
          <w:szCs w:val="24"/>
          <w:lang w:eastAsia="es-MX"/>
        </w:rPr>
        <w:t xml:space="preserve">Que, si bien en nuestro país no hay cifras oficiales, la Fundación Carmen Sánchez ha registrado 28 víctimas de ataques con ácido en las últimas dos décadas. Además, </w:t>
      </w:r>
      <w:proofErr w:type="spellStart"/>
      <w:r w:rsidRPr="007F0C5A">
        <w:rPr>
          <w:rFonts w:ascii="Century Gothic" w:eastAsia="Calibri" w:hAnsi="Century Gothic" w:cs="Arial"/>
          <w:sz w:val="24"/>
          <w:szCs w:val="24"/>
          <w:lang w:eastAsia="es-MX"/>
        </w:rPr>
        <w:t>Acid</w:t>
      </w:r>
      <w:proofErr w:type="spellEnd"/>
      <w:r w:rsidRPr="007F0C5A">
        <w:rPr>
          <w:rFonts w:ascii="Century Gothic" w:eastAsia="Calibri" w:hAnsi="Century Gothic" w:cs="Arial"/>
          <w:sz w:val="24"/>
          <w:szCs w:val="24"/>
          <w:lang w:eastAsia="es-MX"/>
        </w:rPr>
        <w:t xml:space="preserve"> </w:t>
      </w:r>
      <w:proofErr w:type="spellStart"/>
      <w:r w:rsidRPr="007F0C5A">
        <w:rPr>
          <w:rFonts w:ascii="Century Gothic" w:eastAsia="Calibri" w:hAnsi="Century Gothic" w:cs="Arial"/>
          <w:sz w:val="24"/>
          <w:szCs w:val="24"/>
          <w:lang w:eastAsia="es-MX"/>
        </w:rPr>
        <w:t>Survivors</w:t>
      </w:r>
      <w:proofErr w:type="spellEnd"/>
      <w:r w:rsidRPr="007F0C5A">
        <w:rPr>
          <w:rFonts w:ascii="Century Gothic" w:eastAsia="Calibri" w:hAnsi="Century Gothic" w:cs="Arial"/>
          <w:sz w:val="24"/>
          <w:szCs w:val="24"/>
          <w:lang w:eastAsia="es-MX"/>
        </w:rPr>
        <w:t xml:space="preserve"> Trust International (ASTI), organización especializada que trabaja con Naciones Unidas, calcula que al año se producen al menos 1.500 agresiones de este tipo en el mundo, más del 80 % a mujeres y cada vez hay más casos en América Latina. </w:t>
      </w:r>
    </w:p>
    <w:p w14:paraId="2815CED4" w14:textId="2FC7AD45" w:rsidR="007F0C5A" w:rsidRPr="007F0C5A" w:rsidRDefault="007F0C5A" w:rsidP="007F0C5A">
      <w:pPr>
        <w:ind w:right="283" w:firstLine="708"/>
        <w:jc w:val="both"/>
        <w:rPr>
          <w:rFonts w:ascii="Century Gothic" w:eastAsia="Calibri" w:hAnsi="Century Gothic" w:cs="Arial"/>
          <w:sz w:val="24"/>
          <w:szCs w:val="24"/>
          <w:lang w:eastAsia="es-MX"/>
        </w:rPr>
      </w:pPr>
      <w:r w:rsidRPr="007F0C5A">
        <w:rPr>
          <w:rFonts w:ascii="Century Gothic" w:eastAsia="Calibri" w:hAnsi="Century Gothic" w:cs="Arial"/>
          <w:sz w:val="24"/>
          <w:szCs w:val="24"/>
          <w:lang w:eastAsia="es-MX"/>
        </w:rPr>
        <w:t xml:space="preserve">Que, víctimas como Elisa </w:t>
      </w:r>
      <w:proofErr w:type="spellStart"/>
      <w:r w:rsidRPr="007F0C5A">
        <w:rPr>
          <w:rFonts w:ascii="Century Gothic" w:eastAsia="Calibri" w:hAnsi="Century Gothic" w:cs="Arial"/>
          <w:sz w:val="24"/>
          <w:szCs w:val="24"/>
          <w:lang w:eastAsia="es-MX"/>
        </w:rPr>
        <w:t>Xolalpa</w:t>
      </w:r>
      <w:proofErr w:type="spellEnd"/>
      <w:r w:rsidRPr="007F0C5A">
        <w:rPr>
          <w:rFonts w:ascii="Century Gothic" w:eastAsia="Calibri" w:hAnsi="Century Gothic" w:cs="Arial"/>
          <w:sz w:val="24"/>
          <w:szCs w:val="24"/>
          <w:lang w:eastAsia="es-MX"/>
        </w:rPr>
        <w:t xml:space="preserve">, quien hace más de 20 años su entonces pareja, la ató a un poste y por liberarse, su agresor le arrojó un químico que comenzó a carcomerle la piel; Carmen Sánchez, quien en 2014 sobrevivió al ataque con el ácido que le tiró su expareja mientras desayunaba con su madre y hermana en Ixtapaluca; Esmeralda Millán que en 2018 fue agredida por su expareja con ácido que le dañó el esófago e hizo que perdiese la córnea derecha. María Elena Ríos quien en 2019 fue atacada por un hombre por orden de su ex pareja, la </w:t>
      </w:r>
      <w:r w:rsidRPr="007F0C5A">
        <w:rPr>
          <w:rFonts w:ascii="Century Gothic" w:eastAsia="Calibri" w:hAnsi="Century Gothic" w:cs="Arial"/>
          <w:sz w:val="24"/>
          <w:szCs w:val="24"/>
          <w:lang w:eastAsia="es-MX"/>
        </w:rPr>
        <w:lastRenderedPageBreak/>
        <w:t xml:space="preserve">roció con ácido en su casa de </w:t>
      </w:r>
      <w:proofErr w:type="spellStart"/>
      <w:r w:rsidRPr="007F0C5A">
        <w:rPr>
          <w:rFonts w:ascii="Century Gothic" w:eastAsia="Calibri" w:hAnsi="Century Gothic" w:cs="Arial"/>
          <w:sz w:val="24"/>
          <w:szCs w:val="24"/>
          <w:lang w:eastAsia="es-MX"/>
        </w:rPr>
        <w:t>Huajuapan</w:t>
      </w:r>
      <w:proofErr w:type="spellEnd"/>
      <w:r w:rsidRPr="007F0C5A">
        <w:rPr>
          <w:rFonts w:ascii="Century Gothic" w:eastAsia="Calibri" w:hAnsi="Century Gothic" w:cs="Arial"/>
          <w:sz w:val="24"/>
          <w:szCs w:val="24"/>
          <w:lang w:eastAsia="es-MX"/>
        </w:rPr>
        <w:t xml:space="preserve"> de León; y el caso de Andre</w:t>
      </w:r>
      <w:r w:rsidR="00D051E2">
        <w:rPr>
          <w:rFonts w:ascii="Century Gothic" w:eastAsia="Calibri" w:hAnsi="Century Gothic" w:cs="Arial"/>
          <w:sz w:val="24"/>
          <w:szCs w:val="24"/>
          <w:lang w:eastAsia="es-MX"/>
        </w:rPr>
        <w:t>a Flores, el cual es reciente en el</w:t>
      </w:r>
      <w:r w:rsidRPr="007F0C5A">
        <w:rPr>
          <w:rFonts w:ascii="Century Gothic" w:eastAsia="Calibri" w:hAnsi="Century Gothic" w:cs="Arial"/>
          <w:sz w:val="24"/>
          <w:szCs w:val="24"/>
          <w:lang w:eastAsia="es-MX"/>
        </w:rPr>
        <w:t xml:space="preserve"> Estado</w:t>
      </w:r>
      <w:r w:rsidR="00D051E2">
        <w:rPr>
          <w:rFonts w:ascii="Century Gothic" w:eastAsia="Calibri" w:hAnsi="Century Gothic" w:cs="Arial"/>
          <w:sz w:val="24"/>
          <w:szCs w:val="24"/>
          <w:lang w:eastAsia="es-MX"/>
        </w:rPr>
        <w:t xml:space="preserve"> de Puebla</w:t>
      </w:r>
      <w:r w:rsidRPr="007F0C5A">
        <w:rPr>
          <w:rFonts w:ascii="Century Gothic" w:eastAsia="Calibri" w:hAnsi="Century Gothic" w:cs="Arial"/>
          <w:sz w:val="24"/>
          <w:szCs w:val="24"/>
          <w:lang w:eastAsia="es-MX"/>
        </w:rPr>
        <w:t>, por citar algunas de ellas.</w:t>
      </w:r>
    </w:p>
    <w:p w14:paraId="67AC7095" w14:textId="762566B0" w:rsidR="007F0C5A" w:rsidRPr="007F0C5A" w:rsidRDefault="007F0C5A" w:rsidP="007F0C5A">
      <w:pPr>
        <w:ind w:right="283" w:firstLine="708"/>
        <w:jc w:val="both"/>
        <w:rPr>
          <w:rFonts w:ascii="Century Gothic" w:eastAsia="Calibri" w:hAnsi="Century Gothic" w:cs="Arial"/>
          <w:sz w:val="24"/>
          <w:szCs w:val="24"/>
          <w:lang w:eastAsia="es-MX"/>
        </w:rPr>
      </w:pPr>
      <w:r w:rsidRPr="007F0C5A">
        <w:rPr>
          <w:rFonts w:ascii="Century Gothic" w:eastAsia="Calibri" w:hAnsi="Century Gothic" w:cs="Arial"/>
          <w:sz w:val="24"/>
          <w:szCs w:val="24"/>
          <w:lang w:eastAsia="es-MX"/>
        </w:rPr>
        <w:t>Que este tipo de lesiones no son simples quemaduras</w:t>
      </w:r>
      <w:r w:rsidR="00D051E2">
        <w:rPr>
          <w:rFonts w:ascii="Century Gothic" w:eastAsia="Calibri" w:hAnsi="Century Gothic" w:cs="Arial"/>
          <w:sz w:val="24"/>
          <w:szCs w:val="24"/>
          <w:lang w:eastAsia="es-MX"/>
        </w:rPr>
        <w:t xml:space="preserve"> o lesiones</w:t>
      </w:r>
      <w:r w:rsidRPr="007F0C5A">
        <w:rPr>
          <w:rFonts w:ascii="Century Gothic" w:eastAsia="Calibri" w:hAnsi="Century Gothic" w:cs="Arial"/>
          <w:sz w:val="24"/>
          <w:szCs w:val="24"/>
          <w:lang w:eastAsia="es-MX"/>
        </w:rPr>
        <w:t xml:space="preserve">, el 90%, el objetivo del agresor </w:t>
      </w:r>
      <w:r w:rsidR="00D051E2">
        <w:rPr>
          <w:rFonts w:ascii="Century Gothic" w:eastAsia="Calibri" w:hAnsi="Century Gothic" w:cs="Arial"/>
          <w:sz w:val="24"/>
          <w:szCs w:val="24"/>
          <w:lang w:eastAsia="es-MX"/>
        </w:rPr>
        <w:t>conlleva la posibilidad de</w:t>
      </w:r>
      <w:r w:rsidRPr="007F0C5A">
        <w:rPr>
          <w:rFonts w:ascii="Century Gothic" w:eastAsia="Calibri" w:hAnsi="Century Gothic" w:cs="Arial"/>
          <w:sz w:val="24"/>
          <w:szCs w:val="24"/>
          <w:lang w:eastAsia="es-MX"/>
        </w:rPr>
        <w:t xml:space="preserve"> acab</w:t>
      </w:r>
      <w:r w:rsidR="00D051E2">
        <w:rPr>
          <w:rFonts w:ascii="Century Gothic" w:eastAsia="Calibri" w:hAnsi="Century Gothic" w:cs="Arial"/>
          <w:sz w:val="24"/>
          <w:szCs w:val="24"/>
          <w:lang w:eastAsia="es-MX"/>
        </w:rPr>
        <w:t>ar con la vida de la mujer,  destruirla o</w:t>
      </w:r>
      <w:r w:rsidRPr="007F0C5A">
        <w:rPr>
          <w:rFonts w:ascii="Century Gothic" w:eastAsia="Calibri" w:hAnsi="Century Gothic" w:cs="Arial"/>
          <w:sz w:val="24"/>
          <w:szCs w:val="24"/>
          <w:lang w:eastAsia="es-MX"/>
        </w:rPr>
        <w:t xml:space="preserve"> marcarla para siempre, como forma de dar un mensaje a la víctima y a la sociedad. Ese mensaje suele poner a la mujer en una posición de inferioridad y como un objeto o propiedad del atacante. Lo que se quiere decir es: “si no eres mía, no serás de nadie más”. Por eso buscan</w:t>
      </w:r>
      <w:r w:rsidR="00D051E2">
        <w:rPr>
          <w:rFonts w:ascii="Century Gothic" w:eastAsia="Calibri" w:hAnsi="Century Gothic" w:cs="Arial"/>
          <w:sz w:val="24"/>
          <w:szCs w:val="24"/>
          <w:lang w:eastAsia="es-MX"/>
        </w:rPr>
        <w:t xml:space="preserve"> inicialmente</w:t>
      </w:r>
      <w:r w:rsidRPr="007F0C5A">
        <w:rPr>
          <w:rFonts w:ascii="Century Gothic" w:eastAsia="Calibri" w:hAnsi="Century Gothic" w:cs="Arial"/>
          <w:sz w:val="24"/>
          <w:szCs w:val="24"/>
          <w:lang w:eastAsia="es-MX"/>
        </w:rPr>
        <w:t xml:space="preserve"> desfigurar el rostro, que es</w:t>
      </w:r>
      <w:r w:rsidR="00D051E2">
        <w:rPr>
          <w:rFonts w:ascii="Century Gothic" w:eastAsia="Calibri" w:hAnsi="Century Gothic" w:cs="Arial"/>
          <w:sz w:val="24"/>
          <w:szCs w:val="24"/>
          <w:lang w:eastAsia="es-MX"/>
        </w:rPr>
        <w:t xml:space="preserve"> el eje del cuerpo de una mujer, pero que ataques como esos, ponen en riesgo la totalidad de la integridad física de la víctima.</w:t>
      </w:r>
      <w:r w:rsidRPr="007F0C5A">
        <w:rPr>
          <w:rFonts w:ascii="Century Gothic" w:eastAsia="Calibri" w:hAnsi="Century Gothic" w:cs="Arial"/>
          <w:sz w:val="24"/>
          <w:szCs w:val="24"/>
          <w:lang w:eastAsia="es-MX"/>
        </w:rPr>
        <w:t xml:space="preserve"> </w:t>
      </w:r>
      <w:r w:rsidR="00D051E2">
        <w:rPr>
          <w:rFonts w:ascii="Century Gothic" w:eastAsia="Calibri" w:hAnsi="Century Gothic" w:cs="Arial"/>
          <w:sz w:val="24"/>
          <w:szCs w:val="24"/>
          <w:lang w:eastAsia="es-MX"/>
        </w:rPr>
        <w:t>Asimismo, e</w:t>
      </w:r>
      <w:r w:rsidRPr="007F0C5A">
        <w:rPr>
          <w:rFonts w:ascii="Century Gothic" w:eastAsia="Calibri" w:hAnsi="Century Gothic" w:cs="Arial"/>
          <w:sz w:val="24"/>
          <w:szCs w:val="24"/>
          <w:lang w:eastAsia="es-MX"/>
        </w:rPr>
        <w:t xml:space="preserve">n la mayoría de los casos existen antecedentes de violencia psicológica y física en la relación, incluso en algunos hay denuncias por parte de las víctimas. </w:t>
      </w:r>
    </w:p>
    <w:p w14:paraId="5D67EE9A" w14:textId="77777777" w:rsidR="007F0C5A" w:rsidRPr="007F0C5A" w:rsidRDefault="007F0C5A" w:rsidP="007F0C5A">
      <w:pPr>
        <w:ind w:right="283" w:firstLine="708"/>
        <w:jc w:val="both"/>
        <w:rPr>
          <w:rFonts w:ascii="Century Gothic" w:eastAsia="Calibri" w:hAnsi="Century Gothic" w:cs="Arial"/>
          <w:sz w:val="24"/>
          <w:szCs w:val="24"/>
          <w:lang w:eastAsia="es-MX"/>
        </w:rPr>
      </w:pPr>
      <w:r w:rsidRPr="007F0C5A">
        <w:rPr>
          <w:rFonts w:ascii="Century Gothic" w:eastAsia="Calibri" w:hAnsi="Century Gothic" w:cs="Arial"/>
          <w:sz w:val="24"/>
          <w:szCs w:val="24"/>
          <w:lang w:eastAsia="es-MX"/>
        </w:rPr>
        <w:t xml:space="preserve">Que lo que hace que este tipo de violencia sea extrema es, el primer lugar destruir a otra persona por su género, y en segundo término, al desfigurar partes específicas del cuerpo de una mujer, se agrega el elemento de la crueldad tratándola como a un objeto, además de que la excluye de la sociedad, puesto que una mujer que es atacada con ácido encuentra vulnerados la mayoría de sus derechos y esto le impide desarrollarse adecuadamente. </w:t>
      </w:r>
    </w:p>
    <w:p w14:paraId="7739680D" w14:textId="77777777" w:rsidR="007F0C5A" w:rsidRPr="007F0C5A" w:rsidRDefault="007F0C5A" w:rsidP="007F0C5A">
      <w:pPr>
        <w:ind w:right="283" w:firstLine="708"/>
        <w:jc w:val="both"/>
        <w:rPr>
          <w:rFonts w:ascii="Century Gothic" w:eastAsia="Calibri" w:hAnsi="Century Gothic" w:cs="Arial"/>
          <w:sz w:val="24"/>
          <w:szCs w:val="24"/>
          <w:lang w:eastAsia="es-MX"/>
        </w:rPr>
      </w:pPr>
      <w:r w:rsidRPr="007F0C5A">
        <w:rPr>
          <w:rFonts w:ascii="Century Gothic" w:eastAsia="Calibri" w:hAnsi="Century Gothic" w:cs="Arial"/>
          <w:sz w:val="24"/>
          <w:szCs w:val="24"/>
          <w:lang w:eastAsia="es-MX"/>
        </w:rPr>
        <w:t xml:space="preserve">Que en los Códigos Penales de Baja California Sur y Oaxaca tipifican este delito de forma autónoma; la Ciudad de México, Guerrero, Aguascalientes, Colima y Estado de México consideran los ataques con ácido como un agravante del delito de lesiones. </w:t>
      </w:r>
    </w:p>
    <w:p w14:paraId="7059C051" w14:textId="2186D305" w:rsidR="007F0C5A" w:rsidRDefault="00D051E2" w:rsidP="007F0C5A">
      <w:pPr>
        <w:ind w:right="283" w:firstLine="708"/>
        <w:jc w:val="both"/>
        <w:rPr>
          <w:rFonts w:ascii="Century Gothic" w:eastAsia="Calibri" w:hAnsi="Century Gothic" w:cs="Arial"/>
          <w:sz w:val="24"/>
          <w:szCs w:val="24"/>
          <w:lang w:eastAsia="es-MX"/>
        </w:rPr>
      </w:pPr>
      <w:r>
        <w:rPr>
          <w:rFonts w:ascii="Century Gothic" w:eastAsia="Calibri" w:hAnsi="Century Gothic" w:cs="Arial"/>
          <w:sz w:val="24"/>
          <w:szCs w:val="24"/>
          <w:lang w:eastAsia="es-MX"/>
        </w:rPr>
        <w:t>Que, en los</w:t>
      </w:r>
      <w:r w:rsidR="007F0C5A" w:rsidRPr="007F0C5A">
        <w:rPr>
          <w:rFonts w:ascii="Century Gothic" w:eastAsia="Calibri" w:hAnsi="Century Gothic" w:cs="Arial"/>
          <w:sz w:val="24"/>
          <w:szCs w:val="24"/>
          <w:lang w:eastAsia="es-MX"/>
        </w:rPr>
        <w:t xml:space="preserve"> caso</w:t>
      </w:r>
      <w:r>
        <w:rPr>
          <w:rFonts w:ascii="Century Gothic" w:eastAsia="Calibri" w:hAnsi="Century Gothic" w:cs="Arial"/>
          <w:sz w:val="24"/>
          <w:szCs w:val="24"/>
          <w:lang w:eastAsia="es-MX"/>
        </w:rPr>
        <w:t>s</w:t>
      </w:r>
      <w:r w:rsidR="007F0C5A" w:rsidRPr="007F0C5A">
        <w:rPr>
          <w:rFonts w:ascii="Century Gothic" w:eastAsia="Calibri" w:hAnsi="Century Gothic" w:cs="Arial"/>
          <w:sz w:val="24"/>
          <w:szCs w:val="24"/>
          <w:lang w:eastAsia="es-MX"/>
        </w:rPr>
        <w:t xml:space="preserve"> de Oaxaca, el 4 de marzo del 2020 la LXIV Legislatura de ese Estado, lo cual fue publicado en el Periódico Oficial el 1</w:t>
      </w:r>
      <w:r>
        <w:rPr>
          <w:rFonts w:ascii="Century Gothic" w:eastAsia="Calibri" w:hAnsi="Century Gothic" w:cs="Arial"/>
          <w:sz w:val="24"/>
          <w:szCs w:val="24"/>
          <w:lang w:eastAsia="es-MX"/>
        </w:rPr>
        <w:t>8 de abril del año 2020 y recientemente el 2 de marzo pasado en el Estado de Puebla,</w:t>
      </w:r>
      <w:r w:rsidR="00FB29A3" w:rsidRPr="00FB29A3">
        <w:rPr>
          <w:rFonts w:ascii="Century Gothic" w:eastAsia="Calibri" w:hAnsi="Century Gothic" w:cs="Arial"/>
          <w:sz w:val="24"/>
          <w:szCs w:val="24"/>
          <w:lang w:eastAsia="es-MX"/>
        </w:rPr>
        <w:t xml:space="preserve"> </w:t>
      </w:r>
      <w:r w:rsidR="00FB29A3">
        <w:rPr>
          <w:rFonts w:ascii="Century Gothic" w:eastAsia="Calibri" w:hAnsi="Century Gothic" w:cs="Arial"/>
          <w:sz w:val="24"/>
          <w:szCs w:val="24"/>
          <w:lang w:eastAsia="es-MX"/>
        </w:rPr>
        <w:t>aprobaron</w:t>
      </w:r>
      <w:r w:rsidR="00FB29A3" w:rsidRPr="007F0C5A">
        <w:rPr>
          <w:rFonts w:ascii="Century Gothic" w:eastAsia="Calibri" w:hAnsi="Century Gothic" w:cs="Arial"/>
          <w:sz w:val="24"/>
          <w:szCs w:val="24"/>
          <w:lang w:eastAsia="es-MX"/>
        </w:rPr>
        <w:t xml:space="preserve"> la tipificación de esta conducta</w:t>
      </w:r>
      <w:r w:rsidR="007F0C5A" w:rsidRPr="007F0C5A">
        <w:rPr>
          <w:rFonts w:ascii="Century Gothic" w:eastAsia="Calibri" w:hAnsi="Century Gothic" w:cs="Arial"/>
          <w:sz w:val="24"/>
          <w:szCs w:val="24"/>
          <w:lang w:eastAsia="es-MX"/>
        </w:rPr>
        <w:t xml:space="preserve"> </w:t>
      </w:r>
      <w:r w:rsidR="00FB29A3">
        <w:rPr>
          <w:rFonts w:ascii="Century Gothic" w:eastAsia="Calibri" w:hAnsi="Century Gothic" w:cs="Arial"/>
          <w:sz w:val="24"/>
          <w:szCs w:val="24"/>
          <w:lang w:eastAsia="es-MX"/>
        </w:rPr>
        <w:t>como</w:t>
      </w:r>
      <w:r w:rsidR="007F0C5A" w:rsidRPr="007F0C5A">
        <w:rPr>
          <w:rFonts w:ascii="Century Gothic" w:eastAsia="Calibri" w:hAnsi="Century Gothic" w:cs="Arial"/>
          <w:sz w:val="24"/>
          <w:szCs w:val="24"/>
          <w:lang w:eastAsia="es-MX"/>
        </w:rPr>
        <w:t xml:space="preserve"> violencia </w:t>
      </w:r>
      <w:proofErr w:type="spellStart"/>
      <w:r w:rsidR="007F0C5A" w:rsidRPr="007F0C5A">
        <w:rPr>
          <w:rFonts w:ascii="Century Gothic" w:eastAsia="Calibri" w:hAnsi="Century Gothic" w:cs="Arial"/>
          <w:sz w:val="24"/>
          <w:szCs w:val="24"/>
          <w:lang w:eastAsia="es-MX"/>
        </w:rPr>
        <w:t>feminicida</w:t>
      </w:r>
      <w:proofErr w:type="spellEnd"/>
      <w:r w:rsidR="007F0C5A" w:rsidRPr="007F0C5A">
        <w:rPr>
          <w:rFonts w:ascii="Century Gothic" w:eastAsia="Calibri" w:hAnsi="Century Gothic" w:cs="Arial"/>
          <w:sz w:val="24"/>
          <w:szCs w:val="24"/>
          <w:lang w:eastAsia="es-MX"/>
        </w:rPr>
        <w:t xml:space="preserve"> que tiene como finalidad</w:t>
      </w:r>
      <w:r w:rsidR="00FB29A3">
        <w:rPr>
          <w:rFonts w:ascii="Century Gothic" w:eastAsia="Calibri" w:hAnsi="Century Gothic" w:cs="Arial"/>
          <w:sz w:val="24"/>
          <w:szCs w:val="24"/>
          <w:lang w:eastAsia="es-MX"/>
        </w:rPr>
        <w:t xml:space="preserve"> real, primeramente</w:t>
      </w:r>
      <w:r w:rsidR="007F0C5A" w:rsidRPr="007F0C5A">
        <w:rPr>
          <w:rFonts w:ascii="Century Gothic" w:eastAsia="Calibri" w:hAnsi="Century Gothic" w:cs="Arial"/>
          <w:sz w:val="24"/>
          <w:szCs w:val="24"/>
          <w:lang w:eastAsia="es-MX"/>
        </w:rPr>
        <w:t xml:space="preserve"> la muerte de las mujeres,</w:t>
      </w:r>
      <w:r w:rsidR="00FB29A3">
        <w:rPr>
          <w:rFonts w:ascii="Century Gothic" w:eastAsia="Calibri" w:hAnsi="Century Gothic" w:cs="Arial"/>
          <w:sz w:val="24"/>
          <w:szCs w:val="24"/>
          <w:lang w:eastAsia="es-MX"/>
        </w:rPr>
        <w:t xml:space="preserve"> y en caso de no lograrlo, infligir un daño singularmente cruel.</w:t>
      </w:r>
      <w:r w:rsidR="007F0C5A" w:rsidRPr="007F0C5A">
        <w:rPr>
          <w:rFonts w:ascii="Century Gothic" w:eastAsia="Calibri" w:hAnsi="Century Gothic" w:cs="Arial"/>
          <w:sz w:val="24"/>
          <w:szCs w:val="24"/>
          <w:lang w:eastAsia="es-MX"/>
        </w:rPr>
        <w:t xml:space="preserve"> </w:t>
      </w:r>
    </w:p>
    <w:p w14:paraId="14C8443A" w14:textId="4291DB63" w:rsidR="005E6710" w:rsidRPr="007F0C5A" w:rsidRDefault="005E6710" w:rsidP="007F0C5A">
      <w:pPr>
        <w:ind w:right="283" w:firstLine="708"/>
        <w:jc w:val="both"/>
        <w:rPr>
          <w:rFonts w:ascii="Century Gothic" w:eastAsia="Calibri" w:hAnsi="Century Gothic" w:cs="Arial"/>
          <w:sz w:val="24"/>
          <w:szCs w:val="24"/>
          <w:lang w:eastAsia="es-MX"/>
        </w:rPr>
      </w:pPr>
      <w:r>
        <w:rPr>
          <w:rFonts w:ascii="Century Gothic" w:eastAsia="Calibri" w:hAnsi="Century Gothic" w:cs="Arial"/>
          <w:sz w:val="24"/>
          <w:szCs w:val="24"/>
          <w:lang w:eastAsia="es-MX"/>
        </w:rPr>
        <w:t>Que el Estado de Yucatán, no puede permanecer indiferente ante la existencia de este tipo de conductas y que, siendo siempre integrante de la vanguardia jurídica en el país.</w:t>
      </w:r>
    </w:p>
    <w:p w14:paraId="6D9E06EB" w14:textId="1F1C8B89" w:rsidR="0018204C" w:rsidRDefault="005E6710" w:rsidP="00C81209">
      <w:pPr>
        <w:ind w:right="283" w:firstLine="708"/>
        <w:jc w:val="both"/>
        <w:rPr>
          <w:rFonts w:ascii="Century Gothic" w:eastAsia="Calibri" w:hAnsi="Century Gothic" w:cs="Arial"/>
          <w:sz w:val="24"/>
          <w:szCs w:val="24"/>
          <w:lang w:eastAsia="es-MX"/>
        </w:rPr>
      </w:pPr>
      <w:r>
        <w:rPr>
          <w:rFonts w:ascii="Century Gothic" w:eastAsia="Calibri" w:hAnsi="Century Gothic" w:cs="Arial"/>
          <w:sz w:val="24"/>
          <w:szCs w:val="24"/>
          <w:lang w:eastAsia="es-MX"/>
        </w:rPr>
        <w:t>Es que</w:t>
      </w:r>
      <w:r w:rsidR="00C81209" w:rsidRPr="00C81209">
        <w:rPr>
          <w:rFonts w:ascii="Century Gothic" w:eastAsia="Calibri" w:hAnsi="Century Gothic" w:cs="Arial"/>
          <w:sz w:val="24"/>
          <w:szCs w:val="24"/>
          <w:lang w:eastAsia="es-MX"/>
        </w:rPr>
        <w:t xml:space="preserve">, </w:t>
      </w:r>
      <w:r w:rsidR="0018204C">
        <w:rPr>
          <w:rFonts w:ascii="Century Gothic" w:eastAsia="Calibri" w:hAnsi="Century Gothic" w:cs="Arial"/>
          <w:sz w:val="24"/>
          <w:szCs w:val="24"/>
          <w:lang w:eastAsia="es-MX"/>
        </w:rPr>
        <w:t xml:space="preserve">acorde con las consideraciones aquí vertidas en el presente documento, resulta necesario considerar esta conducta no como una forma de causar lesiones solamente, sino que resulta en una conducta que conlleva el riesgo </w:t>
      </w:r>
      <w:r w:rsidR="0018204C">
        <w:rPr>
          <w:rFonts w:ascii="Century Gothic" w:eastAsia="Calibri" w:hAnsi="Century Gothic" w:cs="Arial"/>
          <w:sz w:val="24"/>
          <w:szCs w:val="24"/>
          <w:lang w:eastAsia="es-MX"/>
        </w:rPr>
        <w:lastRenderedPageBreak/>
        <w:t xml:space="preserve">de privar de la vida a la víctima, de tal manera que </w:t>
      </w:r>
      <w:r w:rsidR="0018204C" w:rsidRPr="00C81209">
        <w:rPr>
          <w:rFonts w:ascii="Century Gothic" w:eastAsia="Calibri" w:hAnsi="Century Gothic" w:cs="Arial"/>
          <w:sz w:val="24"/>
          <w:szCs w:val="24"/>
          <w:lang w:eastAsia="es-MX"/>
        </w:rPr>
        <w:t xml:space="preserve">se propone </w:t>
      </w:r>
      <w:r w:rsidR="0018204C">
        <w:rPr>
          <w:rFonts w:ascii="Century Gothic" w:eastAsia="Calibri" w:hAnsi="Century Gothic" w:cs="Arial"/>
          <w:sz w:val="24"/>
          <w:szCs w:val="24"/>
          <w:lang w:eastAsia="es-MX"/>
        </w:rPr>
        <w:t>considerar en el estado de Yucatán a los ataques con ácido como una forma atentar</w:t>
      </w:r>
      <w:r w:rsidR="00BB6245">
        <w:rPr>
          <w:rFonts w:ascii="Century Gothic" w:eastAsia="Calibri" w:hAnsi="Century Gothic" w:cs="Arial"/>
          <w:sz w:val="24"/>
          <w:szCs w:val="24"/>
          <w:lang w:eastAsia="es-MX"/>
        </w:rPr>
        <w:t xml:space="preserve"> no solo contra la integridad corporal de las víctimas sino como un ataque</w:t>
      </w:r>
      <w:r w:rsidR="0018204C">
        <w:rPr>
          <w:rFonts w:ascii="Century Gothic" w:eastAsia="Calibri" w:hAnsi="Century Gothic" w:cs="Arial"/>
          <w:sz w:val="24"/>
          <w:szCs w:val="24"/>
          <w:lang w:eastAsia="es-MX"/>
        </w:rPr>
        <w:t xml:space="preserve"> contra la vida</w:t>
      </w:r>
      <w:r w:rsidR="00BB6245">
        <w:rPr>
          <w:rFonts w:ascii="Century Gothic" w:eastAsia="Calibri" w:hAnsi="Century Gothic" w:cs="Arial"/>
          <w:sz w:val="24"/>
          <w:szCs w:val="24"/>
          <w:lang w:eastAsia="es-MX"/>
        </w:rPr>
        <w:t xml:space="preserve"> misma</w:t>
      </w:r>
      <w:r w:rsidR="0018204C">
        <w:rPr>
          <w:rFonts w:ascii="Century Gothic" w:eastAsia="Calibri" w:hAnsi="Century Gothic" w:cs="Arial"/>
          <w:sz w:val="24"/>
          <w:szCs w:val="24"/>
          <w:lang w:eastAsia="es-MX"/>
        </w:rPr>
        <w:t xml:space="preserve"> de las mujeres yucatecas, </w:t>
      </w:r>
      <w:r w:rsidR="00BB6245">
        <w:rPr>
          <w:rFonts w:ascii="Century Gothic" w:eastAsia="Calibri" w:hAnsi="Century Gothic" w:cs="Arial"/>
          <w:sz w:val="24"/>
          <w:szCs w:val="24"/>
          <w:lang w:eastAsia="es-MX"/>
        </w:rPr>
        <w:t>por lo que es necesario pasar</w:t>
      </w:r>
      <w:r w:rsidR="0018204C">
        <w:rPr>
          <w:rFonts w:ascii="Century Gothic" w:eastAsia="Calibri" w:hAnsi="Century Gothic" w:cs="Arial"/>
          <w:sz w:val="24"/>
          <w:szCs w:val="24"/>
          <w:lang w:eastAsia="es-MX"/>
        </w:rPr>
        <w:t xml:space="preserve"> </w:t>
      </w:r>
      <w:r w:rsidR="00FB29A3">
        <w:rPr>
          <w:rFonts w:ascii="Century Gothic" w:eastAsia="Calibri" w:hAnsi="Century Gothic" w:cs="Arial"/>
          <w:sz w:val="24"/>
          <w:szCs w:val="24"/>
          <w:lang w:eastAsia="es-MX"/>
        </w:rPr>
        <w:t>a</w:t>
      </w:r>
      <w:r w:rsidR="00BB6245">
        <w:rPr>
          <w:rFonts w:ascii="Century Gothic" w:eastAsia="Calibri" w:hAnsi="Century Gothic" w:cs="Arial"/>
          <w:sz w:val="24"/>
          <w:szCs w:val="24"/>
          <w:lang w:eastAsia="es-MX"/>
        </w:rPr>
        <w:t xml:space="preserve"> considerarla</w:t>
      </w:r>
      <w:r w:rsidR="00FB29A3">
        <w:rPr>
          <w:rFonts w:ascii="Century Gothic" w:eastAsia="Calibri" w:hAnsi="Century Gothic" w:cs="Arial"/>
          <w:sz w:val="24"/>
          <w:szCs w:val="24"/>
          <w:lang w:eastAsia="es-MX"/>
        </w:rPr>
        <w:t xml:space="preserve"> no </w:t>
      </w:r>
      <w:r w:rsidR="00BB6245">
        <w:rPr>
          <w:rFonts w:ascii="Century Gothic" w:eastAsia="Calibri" w:hAnsi="Century Gothic" w:cs="Arial"/>
          <w:sz w:val="24"/>
          <w:szCs w:val="24"/>
          <w:lang w:eastAsia="es-MX"/>
        </w:rPr>
        <w:t xml:space="preserve">como </w:t>
      </w:r>
      <w:r w:rsidR="00FB29A3">
        <w:rPr>
          <w:rFonts w:ascii="Century Gothic" w:eastAsia="Calibri" w:hAnsi="Century Gothic" w:cs="Arial"/>
          <w:sz w:val="24"/>
          <w:szCs w:val="24"/>
          <w:lang w:eastAsia="es-MX"/>
        </w:rPr>
        <w:t>una modalidad de las lesiones sino</w:t>
      </w:r>
      <w:r w:rsidR="00BB6245">
        <w:rPr>
          <w:rFonts w:ascii="Century Gothic" w:eastAsia="Calibri" w:hAnsi="Century Gothic" w:cs="Arial"/>
          <w:sz w:val="24"/>
          <w:szCs w:val="24"/>
          <w:lang w:eastAsia="es-MX"/>
        </w:rPr>
        <w:t xml:space="preserve"> como</w:t>
      </w:r>
      <w:r w:rsidR="0018204C">
        <w:rPr>
          <w:rFonts w:ascii="Century Gothic" w:eastAsia="Calibri" w:hAnsi="Century Gothic" w:cs="Arial"/>
          <w:sz w:val="24"/>
          <w:szCs w:val="24"/>
          <w:lang w:eastAsia="es-MX"/>
        </w:rPr>
        <w:t xml:space="preserve"> una tentativa de </w:t>
      </w:r>
      <w:proofErr w:type="spellStart"/>
      <w:r w:rsidR="0018204C">
        <w:rPr>
          <w:rFonts w:ascii="Century Gothic" w:eastAsia="Calibri" w:hAnsi="Century Gothic" w:cs="Arial"/>
          <w:sz w:val="24"/>
          <w:szCs w:val="24"/>
          <w:lang w:eastAsia="es-MX"/>
        </w:rPr>
        <w:t>feminicidio</w:t>
      </w:r>
      <w:proofErr w:type="spellEnd"/>
      <w:r w:rsidR="0018204C">
        <w:rPr>
          <w:rFonts w:ascii="Century Gothic" w:eastAsia="Calibri" w:hAnsi="Century Gothic" w:cs="Arial"/>
          <w:sz w:val="24"/>
          <w:szCs w:val="24"/>
          <w:lang w:eastAsia="es-MX"/>
        </w:rPr>
        <w:t xml:space="preserve"> propiamente dicha.</w:t>
      </w:r>
      <w:r w:rsidR="0018204C" w:rsidRPr="00C81209">
        <w:rPr>
          <w:rFonts w:ascii="Century Gothic" w:eastAsia="Calibri" w:hAnsi="Century Gothic" w:cs="Arial"/>
          <w:sz w:val="24"/>
          <w:szCs w:val="24"/>
          <w:lang w:eastAsia="es-MX"/>
        </w:rPr>
        <w:t xml:space="preserve"> </w:t>
      </w:r>
    </w:p>
    <w:p w14:paraId="0346EDBF" w14:textId="33D2CBFC" w:rsidR="0018204C" w:rsidRDefault="0018204C" w:rsidP="0018204C">
      <w:pPr>
        <w:ind w:right="283" w:firstLine="708"/>
        <w:jc w:val="both"/>
        <w:rPr>
          <w:rFonts w:ascii="Century Gothic" w:eastAsia="Calibri" w:hAnsi="Century Gothic" w:cs="Arial"/>
          <w:sz w:val="24"/>
          <w:szCs w:val="24"/>
          <w:lang w:eastAsia="es-MX"/>
        </w:rPr>
      </w:pPr>
      <w:r>
        <w:rPr>
          <w:rFonts w:ascii="Century Gothic" w:eastAsia="Calibri" w:hAnsi="Century Gothic" w:cs="Arial"/>
          <w:sz w:val="24"/>
          <w:szCs w:val="24"/>
          <w:lang w:eastAsia="es-MX"/>
        </w:rPr>
        <w:t xml:space="preserve">En este sentido, </w:t>
      </w:r>
      <w:r w:rsidR="00C81209" w:rsidRPr="00C81209">
        <w:rPr>
          <w:rFonts w:ascii="Century Gothic" w:eastAsia="Calibri" w:hAnsi="Century Gothic" w:cs="Arial"/>
          <w:sz w:val="24"/>
          <w:szCs w:val="24"/>
          <w:lang w:eastAsia="es-MX"/>
        </w:rPr>
        <w:t xml:space="preserve">la presente iniciativa busca </w:t>
      </w:r>
      <w:r>
        <w:rPr>
          <w:rFonts w:ascii="Century Gothic" w:eastAsia="Calibri" w:hAnsi="Century Gothic" w:cs="Arial"/>
          <w:sz w:val="24"/>
          <w:szCs w:val="24"/>
          <w:lang w:eastAsia="es-MX"/>
        </w:rPr>
        <w:t xml:space="preserve">adicionar la </w:t>
      </w:r>
      <w:r w:rsidRPr="0018204C">
        <w:rPr>
          <w:rFonts w:ascii="Century Gothic" w:eastAsia="Calibri" w:hAnsi="Century Gothic" w:cs="Arial"/>
          <w:sz w:val="24"/>
          <w:szCs w:val="24"/>
          <w:lang w:eastAsia="es-MX"/>
        </w:rPr>
        <w:t xml:space="preserve">fracción XII al artículo 6 de la Ley de Acceso de las Mujeres a una Vida Libre de Violencia del Estado de Yucatán </w:t>
      </w:r>
      <w:r>
        <w:rPr>
          <w:rFonts w:ascii="Century Gothic" w:eastAsia="Calibri" w:hAnsi="Century Gothic" w:cs="Arial"/>
          <w:sz w:val="24"/>
          <w:szCs w:val="24"/>
          <w:lang w:eastAsia="es-MX"/>
        </w:rPr>
        <w:t xml:space="preserve">para definir la Violencia Ácida, como </w:t>
      </w:r>
      <w:r w:rsidRPr="0018204C">
        <w:rPr>
          <w:rFonts w:ascii="Century Gothic" w:eastAsia="Calibri" w:hAnsi="Century Gothic" w:cs="Arial"/>
          <w:sz w:val="24"/>
          <w:szCs w:val="24"/>
          <w:lang w:eastAsia="es-MX"/>
        </w:rPr>
        <w:t>todo acto que infringe daño no accidental, utilizando la fuerza física o algún tipo de objeto ácido o sustancia corrosiva, cáustica, irritante, tóxica, inflamable o cualquier otra sustancia que en determinadas condiciones puedan provocar, o no, lesiones internas, externas o ambas</w:t>
      </w:r>
      <w:r>
        <w:rPr>
          <w:rFonts w:ascii="Century Gothic" w:eastAsia="Calibri" w:hAnsi="Century Gothic" w:cs="Arial"/>
          <w:sz w:val="24"/>
          <w:szCs w:val="24"/>
          <w:lang w:eastAsia="es-MX"/>
        </w:rPr>
        <w:t>.</w:t>
      </w:r>
    </w:p>
    <w:p w14:paraId="11FC4C4D" w14:textId="77777777" w:rsidR="007F0C5A" w:rsidRDefault="0018204C" w:rsidP="0018204C">
      <w:pPr>
        <w:ind w:right="283" w:firstLine="708"/>
        <w:jc w:val="both"/>
        <w:rPr>
          <w:rFonts w:ascii="Century Gothic" w:eastAsia="Calibri" w:hAnsi="Century Gothic" w:cs="Arial"/>
          <w:sz w:val="24"/>
          <w:szCs w:val="24"/>
          <w:lang w:eastAsia="es-MX"/>
        </w:rPr>
      </w:pPr>
      <w:r>
        <w:rPr>
          <w:rFonts w:ascii="Century Gothic" w:eastAsia="Calibri" w:hAnsi="Century Gothic" w:cs="Arial"/>
          <w:sz w:val="24"/>
          <w:szCs w:val="24"/>
          <w:lang w:eastAsia="es-MX"/>
        </w:rPr>
        <w:t>Asi</w:t>
      </w:r>
      <w:r w:rsidR="007F0C5A">
        <w:rPr>
          <w:rFonts w:ascii="Century Gothic" w:eastAsia="Calibri" w:hAnsi="Century Gothic" w:cs="Arial"/>
          <w:sz w:val="24"/>
          <w:szCs w:val="24"/>
          <w:lang w:eastAsia="es-MX"/>
        </w:rPr>
        <w:t>mismo, también propone</w:t>
      </w:r>
      <w:r>
        <w:rPr>
          <w:rFonts w:ascii="Century Gothic" w:eastAsia="Calibri" w:hAnsi="Century Gothic" w:cs="Arial"/>
          <w:sz w:val="24"/>
          <w:szCs w:val="24"/>
          <w:lang w:eastAsia="es-MX"/>
        </w:rPr>
        <w:t xml:space="preserve"> </w:t>
      </w:r>
      <w:r w:rsidR="007F0C5A" w:rsidRPr="007F0C5A">
        <w:rPr>
          <w:rFonts w:ascii="Century Gothic" w:eastAsia="Calibri" w:hAnsi="Century Gothic" w:cs="Arial"/>
          <w:sz w:val="24"/>
          <w:szCs w:val="24"/>
          <w:lang w:eastAsia="es-MX"/>
        </w:rPr>
        <w:t>deroga</w:t>
      </w:r>
      <w:r w:rsidR="007F0C5A">
        <w:rPr>
          <w:rFonts w:ascii="Century Gothic" w:eastAsia="Calibri" w:hAnsi="Century Gothic" w:cs="Arial"/>
          <w:sz w:val="24"/>
          <w:szCs w:val="24"/>
          <w:lang w:eastAsia="es-MX"/>
        </w:rPr>
        <w:t>r</w:t>
      </w:r>
      <w:r w:rsidR="007F0C5A" w:rsidRPr="007F0C5A">
        <w:rPr>
          <w:rFonts w:ascii="Century Gothic" w:eastAsia="Calibri" w:hAnsi="Century Gothic" w:cs="Arial"/>
          <w:sz w:val="24"/>
          <w:szCs w:val="24"/>
          <w:lang w:eastAsia="es-MX"/>
        </w:rPr>
        <w:t xml:space="preserve"> la fracción I del artículo 367 Ter y</w:t>
      </w:r>
      <w:r w:rsidR="007F0C5A">
        <w:rPr>
          <w:rFonts w:ascii="Century Gothic" w:eastAsia="Calibri" w:hAnsi="Century Gothic" w:cs="Arial"/>
          <w:sz w:val="24"/>
          <w:szCs w:val="24"/>
          <w:lang w:eastAsia="es-MX"/>
        </w:rPr>
        <w:t xml:space="preserve"> que se adicione</w:t>
      </w:r>
      <w:r w:rsidR="007F0C5A" w:rsidRPr="007F0C5A">
        <w:rPr>
          <w:rFonts w:ascii="Century Gothic" w:eastAsia="Calibri" w:hAnsi="Century Gothic" w:cs="Arial"/>
          <w:sz w:val="24"/>
          <w:szCs w:val="24"/>
          <w:lang w:eastAsia="es-MX"/>
        </w:rPr>
        <w:t xml:space="preserve"> un párrafo octavo al artículo 394 </w:t>
      </w:r>
      <w:proofErr w:type="spellStart"/>
      <w:r w:rsidR="007F0C5A" w:rsidRPr="007F0C5A">
        <w:rPr>
          <w:rFonts w:ascii="Century Gothic" w:eastAsia="Calibri" w:hAnsi="Century Gothic" w:cs="Arial"/>
          <w:sz w:val="24"/>
          <w:szCs w:val="24"/>
          <w:lang w:eastAsia="es-MX"/>
        </w:rPr>
        <w:t>Quinquies</w:t>
      </w:r>
      <w:proofErr w:type="spellEnd"/>
      <w:r w:rsidR="007F0C5A" w:rsidRPr="007F0C5A">
        <w:rPr>
          <w:rFonts w:ascii="Century Gothic" w:eastAsia="Calibri" w:hAnsi="Century Gothic" w:cs="Arial"/>
          <w:sz w:val="24"/>
          <w:szCs w:val="24"/>
          <w:lang w:eastAsia="es-MX"/>
        </w:rPr>
        <w:t xml:space="preserve"> ambos del Código Penal del Estado de Yucatán</w:t>
      </w:r>
      <w:r w:rsidR="007F0C5A">
        <w:rPr>
          <w:rFonts w:ascii="Century Gothic" w:eastAsia="Calibri" w:hAnsi="Century Gothic" w:cs="Arial"/>
          <w:sz w:val="24"/>
          <w:szCs w:val="24"/>
          <w:lang w:eastAsia="es-MX"/>
        </w:rPr>
        <w:t>, para dejar de considerar a esta Violencia Ácida como un delito de lesiones y pasar a considerarlo como lo que es realmente, un intento de privar de la vida a su víctima.</w:t>
      </w:r>
    </w:p>
    <w:p w14:paraId="38E85EB6" w14:textId="106A9904" w:rsidR="0018204C" w:rsidRDefault="007F0C5A" w:rsidP="0018204C">
      <w:pPr>
        <w:ind w:right="283" w:firstLine="708"/>
        <w:jc w:val="both"/>
        <w:rPr>
          <w:rFonts w:ascii="Century Gothic" w:eastAsia="Calibri" w:hAnsi="Century Gothic" w:cs="Arial"/>
          <w:sz w:val="24"/>
          <w:szCs w:val="24"/>
          <w:lang w:eastAsia="es-MX"/>
        </w:rPr>
      </w:pPr>
      <w:r>
        <w:rPr>
          <w:rFonts w:ascii="Century Gothic" w:eastAsia="Calibri" w:hAnsi="Century Gothic" w:cs="Arial"/>
          <w:sz w:val="24"/>
          <w:szCs w:val="24"/>
          <w:lang w:eastAsia="es-MX"/>
        </w:rPr>
        <w:t>Es decir,</w:t>
      </w:r>
      <w:r w:rsidRPr="007F0C5A">
        <w:rPr>
          <w:rFonts w:ascii="Century Gothic" w:eastAsia="Calibri" w:hAnsi="Century Gothic" w:cs="Arial"/>
          <w:sz w:val="24"/>
          <w:szCs w:val="24"/>
          <w:lang w:eastAsia="es-MX"/>
        </w:rPr>
        <w:t xml:space="preserve"> </w:t>
      </w:r>
      <w:r w:rsidR="00BB6245">
        <w:rPr>
          <w:rFonts w:ascii="Century Gothic" w:eastAsia="Calibri" w:hAnsi="Century Gothic" w:cs="Arial"/>
          <w:sz w:val="24"/>
          <w:szCs w:val="24"/>
          <w:lang w:eastAsia="es-MX"/>
        </w:rPr>
        <w:t xml:space="preserve">se considera </w:t>
      </w:r>
      <w:r w:rsidR="00BB6245" w:rsidRPr="00BB6245">
        <w:rPr>
          <w:rFonts w:ascii="Century Gothic" w:eastAsia="Calibri" w:hAnsi="Century Gothic" w:cs="Arial"/>
          <w:sz w:val="24"/>
          <w:szCs w:val="24"/>
          <w:lang w:eastAsia="es-MX"/>
        </w:rPr>
        <w:t xml:space="preserve">que comete tentativa de </w:t>
      </w:r>
      <w:proofErr w:type="spellStart"/>
      <w:r w:rsidR="00BB6245" w:rsidRPr="00BB6245">
        <w:rPr>
          <w:rFonts w:ascii="Century Gothic" w:eastAsia="Calibri" w:hAnsi="Century Gothic" w:cs="Arial"/>
          <w:sz w:val="24"/>
          <w:szCs w:val="24"/>
          <w:lang w:eastAsia="es-MX"/>
        </w:rPr>
        <w:t>feminicidio</w:t>
      </w:r>
      <w:proofErr w:type="spellEnd"/>
      <w:r w:rsidR="00BB6245" w:rsidRPr="00BB6245">
        <w:rPr>
          <w:rFonts w:ascii="Century Gothic" w:eastAsia="Calibri" w:hAnsi="Century Gothic" w:cs="Arial"/>
          <w:sz w:val="24"/>
          <w:szCs w:val="24"/>
          <w:lang w:eastAsia="es-MX"/>
        </w:rPr>
        <w:t xml:space="preserve">, quien, teniendo la intención de privar de la vida a una mujer, cause dolosamente lesiones con ácido o sustancia corrosiva, </w:t>
      </w:r>
      <w:r w:rsidR="00BB6245" w:rsidRPr="00BB6245">
        <w:rPr>
          <w:rFonts w:ascii="Century Gothic" w:eastAsia="Calibri" w:hAnsi="Century Gothic" w:cs="Arial"/>
          <w:bCs/>
          <w:sz w:val="24"/>
          <w:szCs w:val="24"/>
          <w:lang w:eastAsia="es-MX"/>
        </w:rPr>
        <w:t>cáustica, irritante, tóxica o inflamable o cualquier otra sustancia que por sí misma o mezclada con otros agentes, genere lesiones internas, externas o ambas</w:t>
      </w:r>
      <w:r>
        <w:rPr>
          <w:rFonts w:ascii="Century Gothic" w:eastAsia="Calibri" w:hAnsi="Century Gothic" w:cs="Arial"/>
          <w:bCs/>
          <w:sz w:val="24"/>
          <w:szCs w:val="24"/>
          <w:lang w:eastAsia="es-MX"/>
        </w:rPr>
        <w:t>.</w:t>
      </w:r>
    </w:p>
    <w:p w14:paraId="6B1A68E6" w14:textId="040ED7C5" w:rsidR="00C81209" w:rsidRPr="00C81209" w:rsidRDefault="00C81209" w:rsidP="00C81209">
      <w:pPr>
        <w:ind w:right="283" w:firstLine="708"/>
        <w:jc w:val="both"/>
        <w:rPr>
          <w:rFonts w:ascii="Century Gothic" w:eastAsia="Calibri" w:hAnsi="Century Gothic" w:cs="Arial"/>
          <w:sz w:val="24"/>
          <w:szCs w:val="24"/>
          <w:lang w:eastAsia="es-MX"/>
        </w:rPr>
      </w:pPr>
      <w:r w:rsidRPr="00C81209">
        <w:rPr>
          <w:rFonts w:ascii="Century Gothic" w:eastAsia="Calibri" w:hAnsi="Century Gothic" w:cs="Arial"/>
          <w:sz w:val="24"/>
          <w:szCs w:val="24"/>
          <w:lang w:eastAsia="es-MX"/>
        </w:rPr>
        <w:t>Debido a las consideraciones expuestas anteriormente, someto ante esta honorable asamblea, la siguiente:</w:t>
      </w:r>
    </w:p>
    <w:p w14:paraId="4656CEE9" w14:textId="77777777" w:rsidR="005B5A66" w:rsidRDefault="005B5A66" w:rsidP="00F83607">
      <w:pPr>
        <w:ind w:right="283"/>
        <w:jc w:val="both"/>
        <w:rPr>
          <w:rFonts w:ascii="Century Gothic" w:eastAsia="Calibri" w:hAnsi="Century Gothic" w:cs="Arial"/>
          <w:sz w:val="24"/>
          <w:szCs w:val="24"/>
          <w:lang w:eastAsia="es-MX"/>
        </w:rPr>
      </w:pPr>
    </w:p>
    <w:p w14:paraId="7CE190BB" w14:textId="77777777" w:rsidR="00BB6245" w:rsidRDefault="00BB6245" w:rsidP="00F83607">
      <w:pPr>
        <w:ind w:right="283"/>
        <w:jc w:val="both"/>
        <w:rPr>
          <w:rFonts w:ascii="Century Gothic" w:eastAsia="Calibri" w:hAnsi="Century Gothic" w:cs="Arial"/>
          <w:sz w:val="24"/>
          <w:szCs w:val="24"/>
          <w:lang w:eastAsia="es-MX"/>
        </w:rPr>
      </w:pPr>
    </w:p>
    <w:p w14:paraId="747A47AC" w14:textId="77777777" w:rsidR="00BB6245" w:rsidRDefault="00BB6245" w:rsidP="00F83607">
      <w:pPr>
        <w:ind w:right="283"/>
        <w:jc w:val="both"/>
        <w:rPr>
          <w:rFonts w:ascii="Century Gothic" w:eastAsia="Calibri" w:hAnsi="Century Gothic" w:cs="Arial"/>
          <w:sz w:val="24"/>
          <w:szCs w:val="24"/>
          <w:lang w:eastAsia="es-MX"/>
        </w:rPr>
      </w:pPr>
    </w:p>
    <w:p w14:paraId="121C8780" w14:textId="77777777" w:rsidR="00BB6245" w:rsidRDefault="00BB6245" w:rsidP="00F83607">
      <w:pPr>
        <w:ind w:right="283"/>
        <w:jc w:val="both"/>
        <w:rPr>
          <w:rFonts w:ascii="Century Gothic" w:eastAsia="Calibri" w:hAnsi="Century Gothic" w:cs="Arial"/>
          <w:sz w:val="24"/>
          <w:szCs w:val="24"/>
          <w:lang w:eastAsia="es-MX"/>
        </w:rPr>
      </w:pPr>
    </w:p>
    <w:p w14:paraId="6B86F045" w14:textId="77777777" w:rsidR="00BB6245" w:rsidRDefault="00BB6245" w:rsidP="00F83607">
      <w:pPr>
        <w:ind w:right="283"/>
        <w:jc w:val="both"/>
        <w:rPr>
          <w:rFonts w:ascii="Century Gothic" w:eastAsia="Calibri" w:hAnsi="Century Gothic" w:cs="Arial"/>
          <w:sz w:val="24"/>
          <w:szCs w:val="24"/>
          <w:lang w:eastAsia="es-MX"/>
        </w:rPr>
      </w:pPr>
    </w:p>
    <w:p w14:paraId="32BC7ECE" w14:textId="77777777" w:rsidR="00BB6245" w:rsidRDefault="00BB6245" w:rsidP="00F83607">
      <w:pPr>
        <w:ind w:right="283"/>
        <w:jc w:val="both"/>
        <w:rPr>
          <w:rFonts w:ascii="Century Gothic" w:eastAsia="Calibri" w:hAnsi="Century Gothic" w:cs="Arial"/>
          <w:sz w:val="24"/>
          <w:szCs w:val="24"/>
          <w:lang w:eastAsia="es-MX"/>
        </w:rPr>
      </w:pPr>
    </w:p>
    <w:p w14:paraId="4F2CFC65" w14:textId="4F25E423" w:rsidR="005B5A66" w:rsidRPr="00BB6245" w:rsidRDefault="00C81209" w:rsidP="000664D7">
      <w:pPr>
        <w:spacing w:line="240" w:lineRule="auto"/>
        <w:ind w:right="283"/>
        <w:jc w:val="both"/>
        <w:rPr>
          <w:rFonts w:ascii="Century Gothic" w:eastAsia="Calibri" w:hAnsi="Century Gothic" w:cs="Arial"/>
          <w:b/>
          <w:bCs/>
          <w:sz w:val="24"/>
          <w:szCs w:val="24"/>
          <w:lang w:eastAsia="es-MX"/>
        </w:rPr>
      </w:pPr>
      <w:r w:rsidRPr="00BB6245">
        <w:rPr>
          <w:rFonts w:ascii="Century Gothic" w:eastAsia="Calibri" w:hAnsi="Century Gothic" w:cs="Arial"/>
          <w:b/>
          <w:bCs/>
          <w:sz w:val="24"/>
          <w:szCs w:val="24"/>
          <w:lang w:eastAsia="es-MX"/>
        </w:rPr>
        <w:lastRenderedPageBreak/>
        <w:t>INICIATIVA CON PROYECTO DE DECRETO POR EL QUE SE</w:t>
      </w:r>
      <w:r w:rsidR="002951A3">
        <w:rPr>
          <w:rFonts w:ascii="Century Gothic" w:eastAsia="Calibri" w:hAnsi="Century Gothic" w:cs="Arial"/>
          <w:b/>
          <w:bCs/>
          <w:sz w:val="24"/>
          <w:szCs w:val="24"/>
          <w:lang w:eastAsia="es-MX"/>
        </w:rPr>
        <w:t xml:space="preserve"> MODIFICAN</w:t>
      </w:r>
      <w:r w:rsidR="00F43B74" w:rsidRPr="00BB6245">
        <w:rPr>
          <w:rFonts w:ascii="Century Gothic" w:eastAsia="Calibri" w:hAnsi="Century Gothic" w:cs="Arial"/>
          <w:b/>
          <w:bCs/>
          <w:sz w:val="24"/>
          <w:szCs w:val="24"/>
          <w:lang w:eastAsia="es-MX"/>
        </w:rPr>
        <w:t xml:space="preserve"> DIVERSAS DISPOSICIONES A LA</w:t>
      </w:r>
      <w:r w:rsidRPr="00BB6245">
        <w:rPr>
          <w:rFonts w:ascii="Century Gothic" w:eastAsia="Calibri" w:hAnsi="Century Gothic" w:cs="Arial"/>
          <w:b/>
          <w:bCs/>
          <w:sz w:val="24"/>
          <w:szCs w:val="24"/>
          <w:lang w:eastAsia="es-MX"/>
        </w:rPr>
        <w:t xml:space="preserve"> </w:t>
      </w:r>
      <w:r w:rsidR="00F43B74" w:rsidRPr="00BB6245">
        <w:rPr>
          <w:rFonts w:ascii="Century Gothic" w:eastAsia="Calibri" w:hAnsi="Century Gothic" w:cs="Arial"/>
          <w:b/>
          <w:bCs/>
          <w:sz w:val="24"/>
          <w:szCs w:val="24"/>
          <w:lang w:eastAsia="es-MX"/>
        </w:rPr>
        <w:t>LEY DE ACCESO DE LAS MUJERES A UNA VIDA LIBRE DE VIOLENCIA DEL ESTADO DE YUCATÁN Y AL</w:t>
      </w:r>
      <w:r w:rsidRPr="00BB6245">
        <w:rPr>
          <w:rFonts w:ascii="Century Gothic" w:eastAsia="Calibri" w:hAnsi="Century Gothic" w:cs="Arial"/>
          <w:b/>
          <w:bCs/>
          <w:sz w:val="24"/>
          <w:szCs w:val="24"/>
          <w:lang w:eastAsia="es-MX"/>
        </w:rPr>
        <w:t xml:space="preserve"> CÓDIGO PENAL DEL ESTADO DE</w:t>
      </w:r>
      <w:r w:rsidR="00B36EA3" w:rsidRPr="00BB6245">
        <w:rPr>
          <w:rFonts w:ascii="Century Gothic" w:eastAsia="Calibri" w:hAnsi="Century Gothic" w:cs="Arial"/>
          <w:b/>
          <w:bCs/>
          <w:sz w:val="24"/>
          <w:szCs w:val="24"/>
          <w:lang w:eastAsia="es-MX"/>
        </w:rPr>
        <w:t xml:space="preserve"> YUCATÁN, EN MATERIA DE TENTATIVA DE FEMINICIDIO CAUSADA</w:t>
      </w:r>
      <w:r w:rsidRPr="00BB6245">
        <w:rPr>
          <w:rFonts w:ascii="Century Gothic" w:eastAsia="Calibri" w:hAnsi="Century Gothic" w:cs="Arial"/>
          <w:b/>
          <w:bCs/>
          <w:sz w:val="24"/>
          <w:szCs w:val="24"/>
          <w:lang w:eastAsia="es-MX"/>
        </w:rPr>
        <w:t xml:space="preserve"> POR ÁCIDOS O SUSTANCIAS CORROSIVAS</w:t>
      </w:r>
      <w:r w:rsidR="00B36EA3" w:rsidRPr="00BB6245">
        <w:rPr>
          <w:rFonts w:ascii="Century Gothic" w:eastAsia="Calibri" w:hAnsi="Century Gothic" w:cs="Arial"/>
          <w:b/>
          <w:bCs/>
          <w:sz w:val="24"/>
          <w:szCs w:val="24"/>
          <w:lang w:eastAsia="es-MX"/>
        </w:rPr>
        <w:t>.</w:t>
      </w:r>
    </w:p>
    <w:p w14:paraId="2136FACD" w14:textId="557D5C7F" w:rsidR="00F43B74" w:rsidRPr="00BB6245" w:rsidRDefault="00C81209" w:rsidP="000664D7">
      <w:pPr>
        <w:spacing w:line="240" w:lineRule="auto"/>
        <w:ind w:right="283"/>
        <w:jc w:val="both"/>
        <w:rPr>
          <w:rFonts w:ascii="Century Gothic" w:eastAsia="Calibri" w:hAnsi="Century Gothic" w:cs="Arial"/>
          <w:sz w:val="24"/>
          <w:szCs w:val="24"/>
          <w:lang w:eastAsia="es-MX"/>
        </w:rPr>
      </w:pPr>
      <w:r w:rsidRPr="00BB6245">
        <w:rPr>
          <w:rFonts w:ascii="Century Gothic" w:eastAsia="Calibri" w:hAnsi="Century Gothic" w:cs="Arial"/>
          <w:b/>
          <w:sz w:val="24"/>
          <w:szCs w:val="24"/>
          <w:lang w:eastAsia="es-MX"/>
        </w:rPr>
        <w:t xml:space="preserve">Artículo Primero.- </w:t>
      </w:r>
      <w:r w:rsidR="002951A3">
        <w:rPr>
          <w:rFonts w:ascii="Century Gothic" w:eastAsia="Calibri" w:hAnsi="Century Gothic" w:cs="Arial"/>
          <w:sz w:val="24"/>
          <w:szCs w:val="24"/>
          <w:lang w:eastAsia="es-MX"/>
        </w:rPr>
        <w:t xml:space="preserve">Se modifica la fracción </w:t>
      </w:r>
      <w:r w:rsidR="00F43B74" w:rsidRPr="00BB6245">
        <w:rPr>
          <w:rFonts w:ascii="Century Gothic" w:eastAsia="Calibri" w:hAnsi="Century Gothic" w:cs="Arial"/>
          <w:sz w:val="24"/>
          <w:szCs w:val="24"/>
          <w:lang w:eastAsia="es-MX"/>
        </w:rPr>
        <w:t>II al artículo 6 de la Ley de Acceso de las Mujeres a una Vida Libre de Violencia del Estado de Yucatán, para quedar como sigue:</w:t>
      </w:r>
    </w:p>
    <w:p w14:paraId="2CBEFF4F" w14:textId="77777777" w:rsidR="00F43B74" w:rsidRPr="00BB6245" w:rsidRDefault="00F43B74" w:rsidP="000664D7">
      <w:pPr>
        <w:spacing w:line="240" w:lineRule="auto"/>
        <w:ind w:right="283"/>
        <w:jc w:val="both"/>
        <w:rPr>
          <w:rFonts w:ascii="Century Gothic" w:eastAsia="Calibri" w:hAnsi="Century Gothic" w:cs="Arial"/>
          <w:sz w:val="24"/>
          <w:szCs w:val="24"/>
          <w:lang w:eastAsia="es-MX"/>
        </w:rPr>
      </w:pPr>
      <w:r w:rsidRPr="00BB6245">
        <w:rPr>
          <w:rFonts w:ascii="Century Gothic" w:eastAsia="Calibri" w:hAnsi="Century Gothic" w:cs="Arial"/>
          <w:b/>
          <w:sz w:val="24"/>
          <w:szCs w:val="24"/>
          <w:lang w:eastAsia="es-MX"/>
        </w:rPr>
        <w:t>Artículo 6.</w:t>
      </w:r>
      <w:r w:rsidRPr="00BB6245">
        <w:rPr>
          <w:rFonts w:ascii="Century Gothic" w:eastAsia="Calibri" w:hAnsi="Century Gothic" w:cs="Arial"/>
          <w:sz w:val="24"/>
          <w:szCs w:val="24"/>
          <w:lang w:eastAsia="es-MX"/>
        </w:rPr>
        <w:t xml:space="preserve"> Tipos de violencia Las medidas de atención a que se refiere esta ley corresponderán a los tipos de violencia siguientes:</w:t>
      </w:r>
    </w:p>
    <w:p w14:paraId="35B41809" w14:textId="69B25B56" w:rsidR="00F43B74" w:rsidRPr="00BB6245" w:rsidRDefault="00F43B74" w:rsidP="000664D7">
      <w:pPr>
        <w:spacing w:line="240" w:lineRule="auto"/>
        <w:ind w:right="283"/>
        <w:jc w:val="both"/>
        <w:rPr>
          <w:rFonts w:ascii="Century Gothic" w:eastAsia="Calibri" w:hAnsi="Century Gothic" w:cs="Arial"/>
          <w:sz w:val="24"/>
          <w:szCs w:val="24"/>
          <w:lang w:eastAsia="es-MX"/>
        </w:rPr>
      </w:pPr>
      <w:r w:rsidRPr="00BB6245">
        <w:rPr>
          <w:rFonts w:ascii="Century Gothic" w:eastAsia="Calibri" w:hAnsi="Century Gothic" w:cs="Arial"/>
          <w:b/>
          <w:sz w:val="24"/>
          <w:szCs w:val="24"/>
          <w:lang w:eastAsia="es-MX"/>
        </w:rPr>
        <w:t>II.- Vi</w:t>
      </w:r>
      <w:r w:rsidR="002951A3">
        <w:rPr>
          <w:rFonts w:ascii="Century Gothic" w:eastAsia="Calibri" w:hAnsi="Century Gothic" w:cs="Arial"/>
          <w:b/>
          <w:sz w:val="24"/>
          <w:szCs w:val="24"/>
          <w:lang w:eastAsia="es-MX"/>
        </w:rPr>
        <w:t>olencia Física</w:t>
      </w:r>
      <w:r w:rsidRPr="00BB6245">
        <w:rPr>
          <w:rFonts w:ascii="Century Gothic" w:eastAsia="Calibri" w:hAnsi="Century Gothic" w:cs="Arial"/>
          <w:b/>
          <w:sz w:val="24"/>
          <w:szCs w:val="24"/>
          <w:lang w:eastAsia="es-MX"/>
        </w:rPr>
        <w:t xml:space="preserve">.- </w:t>
      </w:r>
      <w:r w:rsidR="002951A3" w:rsidRPr="002951A3">
        <w:rPr>
          <w:rFonts w:ascii="Century Gothic" w:eastAsia="Calibri" w:hAnsi="Century Gothic" w:cs="Arial"/>
          <w:sz w:val="24"/>
          <w:szCs w:val="24"/>
          <w:lang w:eastAsia="es-MX"/>
        </w:rPr>
        <w:t>Es cualquier acto que inflige daño no accidental, usando la fuerza física o algún tipo de arma, objeto, ácido o sustancia corrosiva, cáustica, irritante, tóxica o inflamable o cualquier otra sustancia que, en determinadas condiciones, pueda provocar o no lesiones ya sean internas, externas, o ambas</w:t>
      </w:r>
      <w:r w:rsidRPr="00BB6245">
        <w:rPr>
          <w:rFonts w:ascii="Century Gothic" w:eastAsia="Calibri" w:hAnsi="Century Gothic" w:cs="Arial"/>
          <w:sz w:val="24"/>
          <w:szCs w:val="24"/>
          <w:lang w:eastAsia="es-MX"/>
        </w:rPr>
        <w:t>.</w:t>
      </w:r>
    </w:p>
    <w:p w14:paraId="695D4ED8" w14:textId="77777777" w:rsidR="000664D7" w:rsidRPr="00BB6245" w:rsidRDefault="000664D7" w:rsidP="000664D7">
      <w:pPr>
        <w:spacing w:line="240" w:lineRule="auto"/>
        <w:ind w:right="283"/>
        <w:jc w:val="both"/>
        <w:rPr>
          <w:rFonts w:ascii="Century Gothic" w:eastAsia="Calibri" w:hAnsi="Century Gothic" w:cs="Arial"/>
          <w:b/>
          <w:sz w:val="24"/>
          <w:szCs w:val="24"/>
          <w:lang w:eastAsia="es-MX"/>
        </w:rPr>
      </w:pPr>
    </w:p>
    <w:p w14:paraId="0B9609A1" w14:textId="2225F470" w:rsidR="0078126D" w:rsidRPr="00BB6245" w:rsidRDefault="00F43B74" w:rsidP="000664D7">
      <w:pPr>
        <w:spacing w:line="240" w:lineRule="auto"/>
        <w:ind w:right="283"/>
        <w:jc w:val="both"/>
        <w:rPr>
          <w:rFonts w:ascii="Century Gothic" w:eastAsia="Calibri" w:hAnsi="Century Gothic" w:cs="Arial"/>
          <w:sz w:val="24"/>
          <w:szCs w:val="24"/>
          <w:lang w:eastAsia="es-MX"/>
        </w:rPr>
      </w:pPr>
      <w:r w:rsidRPr="00BB6245">
        <w:rPr>
          <w:rFonts w:ascii="Century Gothic" w:eastAsia="Calibri" w:hAnsi="Century Gothic" w:cs="Arial"/>
          <w:b/>
          <w:sz w:val="24"/>
          <w:szCs w:val="24"/>
          <w:lang w:eastAsia="es-MX"/>
        </w:rPr>
        <w:t xml:space="preserve">Artículo Segundo.- </w:t>
      </w:r>
      <w:r w:rsidR="00416BAA" w:rsidRPr="00BB6245">
        <w:rPr>
          <w:rFonts w:ascii="Century Gothic" w:eastAsia="Calibri" w:hAnsi="Century Gothic" w:cs="Arial"/>
          <w:sz w:val="24"/>
          <w:szCs w:val="24"/>
          <w:lang w:eastAsia="es-MX"/>
        </w:rPr>
        <w:t>Se</w:t>
      </w:r>
      <w:r w:rsidR="00C81209" w:rsidRPr="00BB6245">
        <w:rPr>
          <w:rFonts w:ascii="Century Gothic" w:eastAsia="Calibri" w:hAnsi="Century Gothic" w:cs="Arial"/>
          <w:sz w:val="24"/>
          <w:szCs w:val="24"/>
          <w:lang w:eastAsia="es-MX"/>
        </w:rPr>
        <w:t xml:space="preserve"> deroga la </w:t>
      </w:r>
      <w:r w:rsidR="00416BAA" w:rsidRPr="00BB6245">
        <w:rPr>
          <w:rFonts w:ascii="Century Gothic" w:eastAsia="Calibri" w:hAnsi="Century Gothic" w:cs="Arial"/>
          <w:sz w:val="24"/>
          <w:szCs w:val="24"/>
          <w:lang w:eastAsia="es-MX"/>
        </w:rPr>
        <w:t>fracción I del artículo 367 Ter y se adiciona un párrafo</w:t>
      </w:r>
      <w:r w:rsidR="00B350D3" w:rsidRPr="00BB6245">
        <w:rPr>
          <w:rFonts w:ascii="Century Gothic" w:eastAsia="Calibri" w:hAnsi="Century Gothic" w:cs="Arial"/>
          <w:sz w:val="24"/>
          <w:szCs w:val="24"/>
          <w:lang w:eastAsia="es-MX"/>
        </w:rPr>
        <w:t xml:space="preserve"> octavo al artículo 394 </w:t>
      </w:r>
      <w:proofErr w:type="spellStart"/>
      <w:r w:rsidR="00B350D3" w:rsidRPr="00BB6245">
        <w:rPr>
          <w:rFonts w:ascii="Century Gothic" w:eastAsia="Calibri" w:hAnsi="Century Gothic" w:cs="Arial"/>
          <w:sz w:val="24"/>
          <w:szCs w:val="24"/>
          <w:lang w:eastAsia="es-MX"/>
        </w:rPr>
        <w:t>Quinquies</w:t>
      </w:r>
      <w:proofErr w:type="spellEnd"/>
      <w:r w:rsidR="00C81209" w:rsidRPr="00BB6245">
        <w:rPr>
          <w:rFonts w:ascii="Century Gothic" w:eastAsia="Calibri" w:hAnsi="Century Gothic" w:cs="Arial"/>
          <w:sz w:val="24"/>
          <w:szCs w:val="24"/>
          <w:lang w:eastAsia="es-MX"/>
        </w:rPr>
        <w:t xml:space="preserve"> ambos del Código Penal del Estado de Yucatán, para quedar como sigue:</w:t>
      </w:r>
    </w:p>
    <w:p w14:paraId="66701BC9" w14:textId="77777777" w:rsidR="00C81209" w:rsidRPr="00BB6245" w:rsidRDefault="00C81209" w:rsidP="000664D7">
      <w:pPr>
        <w:spacing w:line="240" w:lineRule="auto"/>
        <w:ind w:right="283"/>
        <w:jc w:val="both"/>
        <w:rPr>
          <w:rFonts w:ascii="Century Gothic" w:eastAsia="Calibri" w:hAnsi="Century Gothic" w:cs="Arial"/>
          <w:sz w:val="24"/>
          <w:szCs w:val="24"/>
          <w:lang w:eastAsia="es-MX"/>
        </w:rPr>
      </w:pPr>
      <w:r w:rsidRPr="00BB6245">
        <w:rPr>
          <w:rFonts w:ascii="Century Gothic" w:eastAsia="Calibri" w:hAnsi="Century Gothic" w:cs="Arial"/>
          <w:b/>
          <w:sz w:val="24"/>
          <w:szCs w:val="24"/>
          <w:lang w:eastAsia="es-MX"/>
        </w:rPr>
        <w:t>Artículo 367 ter.-</w:t>
      </w:r>
      <w:r w:rsidRPr="00BB6245">
        <w:rPr>
          <w:rFonts w:ascii="Century Gothic" w:eastAsia="Calibri" w:hAnsi="Century Gothic" w:cs="Arial"/>
          <w:sz w:val="24"/>
          <w:szCs w:val="24"/>
          <w:lang w:eastAsia="es-MX"/>
        </w:rPr>
        <w:t xml:space="preserve"> Las sanciones descritas en el artículo anterior se aumentarán hasta la mitad en los siguientes casos: </w:t>
      </w:r>
    </w:p>
    <w:p w14:paraId="299D5341" w14:textId="780B9499" w:rsidR="00C81209" w:rsidRPr="00BB6245" w:rsidRDefault="00C81209" w:rsidP="000664D7">
      <w:pPr>
        <w:spacing w:line="240" w:lineRule="auto"/>
        <w:ind w:right="283"/>
        <w:jc w:val="both"/>
        <w:rPr>
          <w:rFonts w:ascii="Century Gothic" w:eastAsia="Calibri" w:hAnsi="Century Gothic" w:cs="Arial"/>
          <w:sz w:val="24"/>
          <w:szCs w:val="24"/>
          <w:lang w:eastAsia="es-MX"/>
        </w:rPr>
      </w:pPr>
      <w:r w:rsidRPr="00BB6245">
        <w:rPr>
          <w:rFonts w:ascii="Century Gothic" w:eastAsia="Calibri" w:hAnsi="Century Gothic" w:cs="Arial"/>
          <w:sz w:val="24"/>
          <w:szCs w:val="24"/>
          <w:lang w:eastAsia="es-MX"/>
        </w:rPr>
        <w:t>I.- Se deroga.</w:t>
      </w:r>
    </w:p>
    <w:p w14:paraId="6F50B35B" w14:textId="77777777" w:rsidR="00B36EA3" w:rsidRPr="00BB6245" w:rsidRDefault="00B36EA3" w:rsidP="000664D7">
      <w:pPr>
        <w:spacing w:line="240" w:lineRule="auto"/>
        <w:ind w:right="283"/>
        <w:jc w:val="both"/>
        <w:rPr>
          <w:rFonts w:ascii="Century Gothic" w:eastAsia="Calibri" w:hAnsi="Century Gothic" w:cs="Arial"/>
          <w:sz w:val="24"/>
          <w:szCs w:val="24"/>
          <w:lang w:eastAsia="es-MX"/>
        </w:rPr>
      </w:pPr>
    </w:p>
    <w:p w14:paraId="7C044306" w14:textId="77777777" w:rsidR="00416BAA" w:rsidRPr="00BB6245" w:rsidRDefault="00416BAA" w:rsidP="002A16F1">
      <w:pPr>
        <w:spacing w:line="240" w:lineRule="auto"/>
        <w:ind w:right="283"/>
        <w:jc w:val="both"/>
        <w:rPr>
          <w:rFonts w:ascii="Century Gothic" w:eastAsia="Calibri" w:hAnsi="Century Gothic" w:cs="Arial"/>
          <w:sz w:val="24"/>
          <w:szCs w:val="24"/>
          <w:lang w:eastAsia="es-MX"/>
        </w:rPr>
      </w:pPr>
      <w:r w:rsidRPr="00BB6245">
        <w:rPr>
          <w:rFonts w:ascii="Century Gothic" w:eastAsia="Calibri" w:hAnsi="Century Gothic" w:cs="Arial"/>
          <w:b/>
          <w:sz w:val="24"/>
          <w:szCs w:val="24"/>
          <w:lang w:eastAsia="es-MX"/>
        </w:rPr>
        <w:t xml:space="preserve">Artículo 394 </w:t>
      </w:r>
      <w:proofErr w:type="spellStart"/>
      <w:r w:rsidRPr="00BB6245">
        <w:rPr>
          <w:rFonts w:ascii="Century Gothic" w:eastAsia="Calibri" w:hAnsi="Century Gothic" w:cs="Arial"/>
          <w:b/>
          <w:sz w:val="24"/>
          <w:szCs w:val="24"/>
          <w:lang w:eastAsia="es-MX"/>
        </w:rPr>
        <w:t>Quinquies</w:t>
      </w:r>
      <w:proofErr w:type="spellEnd"/>
      <w:r w:rsidR="00C81209" w:rsidRPr="00BB6245">
        <w:rPr>
          <w:rFonts w:ascii="Century Gothic" w:eastAsia="Calibri" w:hAnsi="Century Gothic" w:cs="Arial"/>
          <w:b/>
          <w:sz w:val="24"/>
          <w:szCs w:val="24"/>
          <w:lang w:eastAsia="es-MX"/>
        </w:rPr>
        <w:t>.-</w:t>
      </w:r>
      <w:r w:rsidR="00C81209" w:rsidRPr="00BB6245">
        <w:rPr>
          <w:rFonts w:ascii="Century Gothic" w:eastAsia="Calibri" w:hAnsi="Century Gothic" w:cs="Arial"/>
          <w:sz w:val="24"/>
          <w:szCs w:val="24"/>
          <w:lang w:eastAsia="es-MX"/>
        </w:rPr>
        <w:t xml:space="preserve"> </w:t>
      </w:r>
      <w:r w:rsidRPr="00BB6245">
        <w:rPr>
          <w:rFonts w:ascii="Century Gothic" w:eastAsia="Calibri" w:hAnsi="Century Gothic" w:cs="Arial"/>
          <w:sz w:val="24"/>
          <w:szCs w:val="24"/>
          <w:lang w:eastAsia="es-MX"/>
        </w:rPr>
        <w:t xml:space="preserve">Comete el delito de </w:t>
      </w:r>
      <w:proofErr w:type="spellStart"/>
      <w:r w:rsidRPr="00BB6245">
        <w:rPr>
          <w:rFonts w:ascii="Century Gothic" w:eastAsia="Calibri" w:hAnsi="Century Gothic" w:cs="Arial"/>
          <w:sz w:val="24"/>
          <w:szCs w:val="24"/>
          <w:lang w:eastAsia="es-MX"/>
        </w:rPr>
        <w:t>feminicidio</w:t>
      </w:r>
      <w:proofErr w:type="spellEnd"/>
      <w:r w:rsidRPr="00BB6245">
        <w:rPr>
          <w:rFonts w:ascii="Century Gothic" w:eastAsia="Calibri" w:hAnsi="Century Gothic" w:cs="Arial"/>
          <w:sz w:val="24"/>
          <w:szCs w:val="24"/>
          <w:lang w:eastAsia="es-MX"/>
        </w:rPr>
        <w:t xml:space="preserve"> quien dolosamente prive de la vida a una persona de sexo femenino por una razón de género. Se considera que existen razones de género cuando concurra cualquiera de las circunstancias siguientes: </w:t>
      </w:r>
    </w:p>
    <w:p w14:paraId="02F5F4F0" w14:textId="06ABB21D" w:rsidR="00416BAA" w:rsidRPr="00BB6245" w:rsidRDefault="00B350D3" w:rsidP="00B350D3">
      <w:pPr>
        <w:spacing w:line="240" w:lineRule="auto"/>
        <w:ind w:right="283"/>
        <w:jc w:val="both"/>
        <w:rPr>
          <w:rFonts w:ascii="Century Gothic" w:eastAsia="Calibri" w:hAnsi="Century Gothic" w:cs="Arial"/>
          <w:sz w:val="24"/>
          <w:szCs w:val="24"/>
          <w:lang w:eastAsia="es-MX"/>
        </w:rPr>
      </w:pPr>
      <w:r w:rsidRPr="00BB6245">
        <w:rPr>
          <w:rFonts w:ascii="Century Gothic" w:eastAsia="Calibri" w:hAnsi="Century Gothic" w:cs="Arial"/>
          <w:sz w:val="24"/>
          <w:szCs w:val="24"/>
          <w:lang w:eastAsia="es-MX"/>
        </w:rPr>
        <w:t>I a la XV…</w:t>
      </w:r>
    </w:p>
    <w:p w14:paraId="03DCA8AD" w14:textId="284FE42E" w:rsidR="00B350D3" w:rsidRPr="00BB6245" w:rsidRDefault="00B350D3" w:rsidP="00B350D3">
      <w:pPr>
        <w:spacing w:line="240" w:lineRule="auto"/>
        <w:ind w:right="283"/>
        <w:jc w:val="both"/>
        <w:rPr>
          <w:rFonts w:ascii="Century Gothic" w:eastAsia="Calibri" w:hAnsi="Century Gothic" w:cs="Arial"/>
          <w:sz w:val="24"/>
          <w:szCs w:val="24"/>
          <w:lang w:eastAsia="es-MX"/>
        </w:rPr>
      </w:pPr>
      <w:r w:rsidRPr="00BB6245">
        <w:rPr>
          <w:rFonts w:ascii="Century Gothic" w:eastAsia="Calibri" w:hAnsi="Century Gothic" w:cs="Arial"/>
          <w:sz w:val="24"/>
          <w:szCs w:val="24"/>
          <w:lang w:eastAsia="es-MX"/>
        </w:rPr>
        <w:t>…</w:t>
      </w:r>
    </w:p>
    <w:p w14:paraId="29CAB718" w14:textId="1E3F3506" w:rsidR="002A16F1" w:rsidRPr="00BB6245" w:rsidRDefault="00B350D3" w:rsidP="002A16F1">
      <w:pPr>
        <w:spacing w:line="240" w:lineRule="auto"/>
        <w:ind w:right="283"/>
        <w:jc w:val="both"/>
        <w:rPr>
          <w:rFonts w:ascii="Century Gothic" w:eastAsia="Calibri" w:hAnsi="Century Gothic" w:cs="Arial"/>
          <w:sz w:val="24"/>
          <w:szCs w:val="24"/>
          <w:lang w:eastAsia="es-MX"/>
        </w:rPr>
      </w:pPr>
      <w:r w:rsidRPr="00BB6245">
        <w:rPr>
          <w:rFonts w:ascii="Century Gothic" w:eastAsia="Calibri" w:hAnsi="Century Gothic" w:cs="Arial"/>
          <w:sz w:val="24"/>
          <w:szCs w:val="24"/>
          <w:lang w:eastAsia="es-MX"/>
        </w:rPr>
        <w:t>Asimismo, se considerará</w:t>
      </w:r>
      <w:r w:rsidR="00BB6245" w:rsidRPr="00BB6245">
        <w:rPr>
          <w:rFonts w:ascii="Century Gothic" w:eastAsia="Calibri" w:hAnsi="Century Gothic" w:cs="Arial"/>
          <w:sz w:val="24"/>
          <w:szCs w:val="24"/>
          <w:lang w:eastAsia="es-MX"/>
        </w:rPr>
        <w:t xml:space="preserve"> que comete</w:t>
      </w:r>
      <w:r w:rsidRPr="00BB6245">
        <w:rPr>
          <w:rFonts w:ascii="Century Gothic" w:eastAsia="Calibri" w:hAnsi="Century Gothic" w:cs="Arial"/>
          <w:sz w:val="24"/>
          <w:szCs w:val="24"/>
          <w:lang w:eastAsia="es-MX"/>
        </w:rPr>
        <w:t xml:space="preserve"> tentativa de </w:t>
      </w:r>
      <w:proofErr w:type="spellStart"/>
      <w:r w:rsidRPr="00BB6245">
        <w:rPr>
          <w:rFonts w:ascii="Century Gothic" w:eastAsia="Calibri" w:hAnsi="Century Gothic" w:cs="Arial"/>
          <w:sz w:val="24"/>
          <w:szCs w:val="24"/>
          <w:lang w:eastAsia="es-MX"/>
        </w:rPr>
        <w:t>feminicidio</w:t>
      </w:r>
      <w:proofErr w:type="spellEnd"/>
      <w:r w:rsidR="00BB6245" w:rsidRPr="00BB6245">
        <w:rPr>
          <w:rFonts w:ascii="Century Gothic" w:eastAsia="Calibri" w:hAnsi="Century Gothic" w:cs="Arial"/>
          <w:sz w:val="24"/>
          <w:szCs w:val="24"/>
          <w:lang w:eastAsia="es-MX"/>
        </w:rPr>
        <w:t>,</w:t>
      </w:r>
      <w:r w:rsidR="007F0C5A" w:rsidRPr="00BB6245">
        <w:rPr>
          <w:rFonts w:ascii="Century Gothic" w:eastAsia="Calibri" w:hAnsi="Century Gothic" w:cs="Arial"/>
          <w:sz w:val="24"/>
          <w:szCs w:val="24"/>
          <w:lang w:eastAsia="es-MX"/>
        </w:rPr>
        <w:t xml:space="preserve"> quien, teniendo la intención de privar de la vida a una mujer</w:t>
      </w:r>
      <w:r w:rsidR="002951A3">
        <w:rPr>
          <w:rFonts w:ascii="Century Gothic" w:eastAsia="Calibri" w:hAnsi="Century Gothic" w:cs="Arial"/>
          <w:sz w:val="24"/>
          <w:szCs w:val="24"/>
          <w:lang w:eastAsia="es-MX"/>
        </w:rPr>
        <w:t xml:space="preserve"> por razón de género</w:t>
      </w:r>
      <w:r w:rsidR="007F0C5A" w:rsidRPr="00BB6245">
        <w:rPr>
          <w:rFonts w:ascii="Century Gothic" w:eastAsia="Calibri" w:hAnsi="Century Gothic" w:cs="Arial"/>
          <w:sz w:val="24"/>
          <w:szCs w:val="24"/>
          <w:lang w:eastAsia="es-MX"/>
        </w:rPr>
        <w:t>,</w:t>
      </w:r>
      <w:r w:rsidR="00B36EA3" w:rsidRPr="00BB6245">
        <w:rPr>
          <w:rFonts w:ascii="Century Gothic" w:eastAsia="Calibri" w:hAnsi="Century Gothic" w:cs="Arial"/>
          <w:sz w:val="24"/>
          <w:szCs w:val="24"/>
          <w:lang w:eastAsia="es-MX"/>
        </w:rPr>
        <w:t xml:space="preserve"> cause dolosamente</w:t>
      </w:r>
      <w:r w:rsidR="002951A3">
        <w:rPr>
          <w:rFonts w:ascii="Century Gothic" w:eastAsia="Calibri" w:hAnsi="Century Gothic" w:cs="Arial"/>
          <w:sz w:val="24"/>
          <w:szCs w:val="24"/>
          <w:lang w:eastAsia="es-MX"/>
        </w:rPr>
        <w:t xml:space="preserve"> quemaduras o</w:t>
      </w:r>
      <w:r w:rsidR="002951A3" w:rsidRPr="00BB6245">
        <w:rPr>
          <w:rFonts w:ascii="Century Gothic" w:eastAsia="Calibri" w:hAnsi="Century Gothic" w:cs="Arial"/>
          <w:bCs/>
          <w:sz w:val="24"/>
          <w:szCs w:val="24"/>
          <w:lang w:eastAsia="es-MX"/>
        </w:rPr>
        <w:t xml:space="preserve"> lesiones</w:t>
      </w:r>
      <w:r w:rsidR="002951A3">
        <w:rPr>
          <w:rFonts w:ascii="Century Gothic" w:eastAsia="Calibri" w:hAnsi="Century Gothic" w:cs="Arial"/>
          <w:bCs/>
          <w:sz w:val="24"/>
          <w:szCs w:val="24"/>
          <w:lang w:eastAsia="es-MX"/>
        </w:rPr>
        <w:t>,</w:t>
      </w:r>
      <w:r w:rsidR="002951A3" w:rsidRPr="00BB6245">
        <w:rPr>
          <w:rFonts w:ascii="Century Gothic" w:eastAsia="Calibri" w:hAnsi="Century Gothic" w:cs="Arial"/>
          <w:bCs/>
          <w:sz w:val="24"/>
          <w:szCs w:val="24"/>
          <w:lang w:eastAsia="es-MX"/>
        </w:rPr>
        <w:t xml:space="preserve"> internas, externas o ambas</w:t>
      </w:r>
      <w:r w:rsidR="002951A3">
        <w:rPr>
          <w:rFonts w:ascii="Century Gothic" w:eastAsia="Calibri" w:hAnsi="Century Gothic" w:cs="Arial"/>
          <w:sz w:val="24"/>
          <w:szCs w:val="24"/>
          <w:lang w:eastAsia="es-MX"/>
        </w:rPr>
        <w:t>,</w:t>
      </w:r>
      <w:r w:rsidR="002A16F1" w:rsidRPr="00BB6245">
        <w:rPr>
          <w:rFonts w:ascii="Century Gothic" w:eastAsia="Calibri" w:hAnsi="Century Gothic" w:cs="Arial"/>
          <w:sz w:val="24"/>
          <w:szCs w:val="24"/>
          <w:lang w:eastAsia="es-MX"/>
        </w:rPr>
        <w:t xml:space="preserve"> con ácido o sustancia corrosiva, </w:t>
      </w:r>
      <w:r w:rsidR="002A16F1" w:rsidRPr="00BB6245">
        <w:rPr>
          <w:rFonts w:ascii="Century Gothic" w:eastAsia="Calibri" w:hAnsi="Century Gothic" w:cs="Arial"/>
          <w:bCs/>
          <w:sz w:val="24"/>
          <w:szCs w:val="24"/>
          <w:lang w:eastAsia="es-MX"/>
        </w:rPr>
        <w:t xml:space="preserve">cáustica, irritante, tóxica o inflamable o cualquier otra sustancia que </w:t>
      </w:r>
      <w:r w:rsidR="005362BC">
        <w:rPr>
          <w:rFonts w:ascii="Century Gothic" w:eastAsia="Calibri" w:hAnsi="Century Gothic" w:cs="Arial"/>
          <w:bCs/>
          <w:sz w:val="24"/>
          <w:szCs w:val="24"/>
          <w:lang w:eastAsia="es-MX"/>
        </w:rPr>
        <w:t xml:space="preserve">los genere </w:t>
      </w:r>
      <w:r w:rsidR="002A16F1" w:rsidRPr="00BB6245">
        <w:rPr>
          <w:rFonts w:ascii="Century Gothic" w:eastAsia="Calibri" w:hAnsi="Century Gothic" w:cs="Arial"/>
          <w:bCs/>
          <w:sz w:val="24"/>
          <w:szCs w:val="24"/>
          <w:lang w:eastAsia="es-MX"/>
        </w:rPr>
        <w:t xml:space="preserve">por sí misma o mezclada con otros agentes,. </w:t>
      </w:r>
    </w:p>
    <w:p w14:paraId="03340EF5" w14:textId="5069EE0A" w:rsidR="008B7D96" w:rsidRPr="00BB6245" w:rsidRDefault="00C81209" w:rsidP="008B7D96">
      <w:pPr>
        <w:ind w:right="283"/>
        <w:jc w:val="center"/>
        <w:rPr>
          <w:rFonts w:ascii="Century Gothic" w:eastAsia="Calibri" w:hAnsi="Century Gothic" w:cs="Arial"/>
          <w:b/>
          <w:sz w:val="24"/>
          <w:szCs w:val="24"/>
          <w:lang w:eastAsia="es-MX"/>
        </w:rPr>
      </w:pPr>
      <w:r w:rsidRPr="00BB6245">
        <w:rPr>
          <w:rFonts w:ascii="Century Gothic" w:eastAsia="Calibri" w:hAnsi="Century Gothic" w:cs="Arial"/>
          <w:b/>
          <w:sz w:val="24"/>
          <w:szCs w:val="24"/>
          <w:lang w:eastAsia="es-MX"/>
        </w:rPr>
        <w:lastRenderedPageBreak/>
        <w:t>Artículo</w:t>
      </w:r>
      <w:r w:rsidR="005B5A66" w:rsidRPr="00BB6245">
        <w:rPr>
          <w:rFonts w:ascii="Century Gothic" w:eastAsia="Calibri" w:hAnsi="Century Gothic" w:cs="Arial"/>
          <w:b/>
          <w:sz w:val="24"/>
          <w:szCs w:val="24"/>
          <w:lang w:eastAsia="es-MX"/>
        </w:rPr>
        <w:t xml:space="preserve"> </w:t>
      </w:r>
      <w:r w:rsidRPr="00BB6245">
        <w:rPr>
          <w:rFonts w:ascii="Century Gothic" w:eastAsia="Calibri" w:hAnsi="Century Gothic" w:cs="Arial"/>
          <w:b/>
          <w:sz w:val="24"/>
          <w:szCs w:val="24"/>
          <w:lang w:eastAsia="es-MX"/>
        </w:rPr>
        <w:t>Transitorio</w:t>
      </w:r>
    </w:p>
    <w:p w14:paraId="5B33139B" w14:textId="24DD7E8E" w:rsidR="005B5A66" w:rsidRPr="00BB6245" w:rsidRDefault="00C81209" w:rsidP="00B7207B">
      <w:pPr>
        <w:ind w:right="283"/>
        <w:jc w:val="both"/>
        <w:rPr>
          <w:rFonts w:ascii="Century Gothic" w:eastAsia="Calibri" w:hAnsi="Century Gothic" w:cs="Arial"/>
          <w:b/>
          <w:sz w:val="24"/>
          <w:szCs w:val="24"/>
          <w:lang w:eastAsia="es-MX"/>
        </w:rPr>
      </w:pPr>
      <w:r w:rsidRPr="00BB6245">
        <w:rPr>
          <w:rFonts w:ascii="Century Gothic" w:eastAsia="Calibri" w:hAnsi="Century Gothic" w:cs="Arial"/>
          <w:b/>
          <w:sz w:val="24"/>
          <w:szCs w:val="24"/>
          <w:lang w:eastAsia="es-MX"/>
        </w:rPr>
        <w:t>Único</w:t>
      </w:r>
      <w:r w:rsidR="005B5A66" w:rsidRPr="00BB6245">
        <w:rPr>
          <w:rFonts w:ascii="Century Gothic" w:eastAsia="Calibri" w:hAnsi="Century Gothic" w:cs="Arial"/>
          <w:b/>
          <w:sz w:val="24"/>
          <w:szCs w:val="24"/>
          <w:lang w:eastAsia="es-MX"/>
        </w:rPr>
        <w:t>. Entrada en vigor.</w:t>
      </w:r>
    </w:p>
    <w:p w14:paraId="7F2E8B1E" w14:textId="34FC1BFF" w:rsidR="00B34A75" w:rsidRPr="00BB6245" w:rsidRDefault="008B7D96" w:rsidP="00B7207B">
      <w:pPr>
        <w:ind w:right="283"/>
        <w:jc w:val="both"/>
        <w:rPr>
          <w:rFonts w:ascii="Century Gothic" w:eastAsia="Calibri" w:hAnsi="Century Gothic" w:cs="Arial"/>
          <w:sz w:val="24"/>
          <w:szCs w:val="24"/>
          <w:lang w:eastAsia="es-MX"/>
        </w:rPr>
      </w:pPr>
      <w:r w:rsidRPr="00BB6245">
        <w:rPr>
          <w:rFonts w:ascii="Century Gothic" w:eastAsia="Calibri" w:hAnsi="Century Gothic" w:cs="Arial"/>
          <w:sz w:val="24"/>
          <w:szCs w:val="24"/>
          <w:lang w:eastAsia="es-MX"/>
        </w:rPr>
        <w:t>El presente decreto entrará en vigor al día siguiente de su publicación en el Diario Oficial del Gobierno del Estado de Yucatán.</w:t>
      </w:r>
    </w:p>
    <w:p w14:paraId="379BEDFF" w14:textId="4C3CAC50" w:rsidR="00855F90" w:rsidRPr="00BB6245" w:rsidRDefault="008B7D96" w:rsidP="00B7207B">
      <w:pPr>
        <w:ind w:right="283"/>
        <w:jc w:val="both"/>
        <w:rPr>
          <w:rFonts w:ascii="Century Gothic" w:eastAsia="Calibri" w:hAnsi="Century Gothic" w:cs="Arial"/>
          <w:sz w:val="24"/>
          <w:szCs w:val="24"/>
          <w:lang w:eastAsia="es-MX"/>
        </w:rPr>
      </w:pPr>
      <w:r w:rsidRPr="00BB6245">
        <w:rPr>
          <w:rFonts w:ascii="Century Gothic" w:eastAsia="Calibri" w:hAnsi="Century Gothic" w:cs="Arial"/>
          <w:sz w:val="24"/>
          <w:szCs w:val="24"/>
          <w:lang w:eastAsia="es-MX"/>
        </w:rPr>
        <w:t xml:space="preserve">Protesto lo necesario, en la ciudad de Mérida, Yucatán a los </w:t>
      </w:r>
      <w:r w:rsidR="00BB6245">
        <w:rPr>
          <w:rFonts w:ascii="Century Gothic" w:eastAsia="Calibri" w:hAnsi="Century Gothic" w:cs="Arial"/>
          <w:sz w:val="24"/>
          <w:szCs w:val="24"/>
          <w:lang w:eastAsia="es-MX"/>
        </w:rPr>
        <w:t>ocho</w:t>
      </w:r>
      <w:r w:rsidR="00C36FAF" w:rsidRPr="00BB6245">
        <w:rPr>
          <w:rFonts w:ascii="Century Gothic" w:eastAsia="Calibri" w:hAnsi="Century Gothic" w:cs="Arial"/>
          <w:sz w:val="24"/>
          <w:szCs w:val="24"/>
          <w:lang w:eastAsia="es-MX"/>
        </w:rPr>
        <w:t xml:space="preserve"> </w:t>
      </w:r>
      <w:r w:rsidRPr="00BB6245">
        <w:rPr>
          <w:rFonts w:ascii="Century Gothic" w:eastAsia="Calibri" w:hAnsi="Century Gothic" w:cs="Arial"/>
          <w:sz w:val="24"/>
          <w:szCs w:val="24"/>
          <w:lang w:eastAsia="es-MX"/>
        </w:rPr>
        <w:t>días del mes de</w:t>
      </w:r>
      <w:r w:rsidR="00BB6245">
        <w:rPr>
          <w:rFonts w:ascii="Century Gothic" w:eastAsia="Calibri" w:hAnsi="Century Gothic" w:cs="Arial"/>
          <w:sz w:val="24"/>
          <w:szCs w:val="24"/>
          <w:lang w:eastAsia="es-MX"/>
        </w:rPr>
        <w:t xml:space="preserve"> marzo</w:t>
      </w:r>
      <w:r w:rsidR="00C36FAF" w:rsidRPr="00BB6245">
        <w:rPr>
          <w:rFonts w:ascii="Century Gothic" w:eastAsia="Calibri" w:hAnsi="Century Gothic" w:cs="Arial"/>
          <w:sz w:val="24"/>
          <w:szCs w:val="24"/>
          <w:lang w:eastAsia="es-MX"/>
        </w:rPr>
        <w:t xml:space="preserve"> </w:t>
      </w:r>
      <w:r w:rsidRPr="00BB6245">
        <w:rPr>
          <w:rFonts w:ascii="Century Gothic" w:eastAsia="Calibri" w:hAnsi="Century Gothic" w:cs="Arial"/>
          <w:sz w:val="24"/>
          <w:szCs w:val="24"/>
          <w:lang w:eastAsia="es-MX"/>
        </w:rPr>
        <w:t>del año 202</w:t>
      </w:r>
      <w:r w:rsidR="00C36FAF" w:rsidRPr="00BB6245">
        <w:rPr>
          <w:rFonts w:ascii="Century Gothic" w:eastAsia="Calibri" w:hAnsi="Century Gothic" w:cs="Arial"/>
          <w:sz w:val="24"/>
          <w:szCs w:val="24"/>
          <w:lang w:eastAsia="es-MX"/>
        </w:rPr>
        <w:t>3</w:t>
      </w:r>
      <w:r w:rsidRPr="00BB6245">
        <w:rPr>
          <w:rFonts w:ascii="Century Gothic" w:eastAsia="Calibri" w:hAnsi="Century Gothic" w:cs="Arial"/>
          <w:sz w:val="24"/>
          <w:szCs w:val="24"/>
          <w:lang w:eastAsia="es-MX"/>
        </w:rPr>
        <w:t>.</w:t>
      </w:r>
    </w:p>
    <w:p w14:paraId="74060FFF" w14:textId="77777777" w:rsidR="008B7D96" w:rsidRPr="00BB6245" w:rsidRDefault="008B7D96" w:rsidP="008B7D96">
      <w:pPr>
        <w:ind w:right="283"/>
        <w:jc w:val="center"/>
        <w:rPr>
          <w:rFonts w:ascii="Century Gothic" w:eastAsia="Calibri" w:hAnsi="Century Gothic" w:cs="Arial"/>
          <w:sz w:val="24"/>
          <w:szCs w:val="24"/>
          <w:lang w:eastAsia="es-MX"/>
        </w:rPr>
      </w:pPr>
      <w:r w:rsidRPr="00BB6245">
        <w:rPr>
          <w:rFonts w:ascii="Century Gothic" w:eastAsia="Calibri" w:hAnsi="Century Gothic" w:cs="Arial"/>
          <w:sz w:val="24"/>
          <w:szCs w:val="24"/>
          <w:lang w:eastAsia="es-MX"/>
        </w:rPr>
        <w:t>ATENTAMENTE</w:t>
      </w:r>
    </w:p>
    <w:p w14:paraId="27A0AAF7" w14:textId="77777777" w:rsidR="004D3753" w:rsidRDefault="004D3753" w:rsidP="008B7D96">
      <w:pPr>
        <w:ind w:right="283"/>
        <w:jc w:val="center"/>
        <w:rPr>
          <w:rFonts w:ascii="Century Gothic" w:eastAsia="Calibri" w:hAnsi="Century Gothic" w:cs="Arial"/>
          <w:sz w:val="24"/>
          <w:szCs w:val="24"/>
          <w:lang w:eastAsia="es-MX"/>
        </w:rPr>
      </w:pPr>
    </w:p>
    <w:p w14:paraId="016B306E" w14:textId="77777777" w:rsidR="003412AC" w:rsidRPr="00BB6245" w:rsidRDefault="003412AC" w:rsidP="008B7D96">
      <w:pPr>
        <w:ind w:right="283"/>
        <w:jc w:val="center"/>
        <w:rPr>
          <w:rFonts w:ascii="Century Gothic" w:eastAsia="Calibri" w:hAnsi="Century Gothic" w:cs="Arial"/>
          <w:sz w:val="24"/>
          <w:szCs w:val="24"/>
          <w:lang w:eastAsia="es-MX"/>
        </w:rPr>
      </w:pP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56"/>
        <w:gridCol w:w="4956"/>
      </w:tblGrid>
      <w:tr w:rsidR="003412AC" w14:paraId="00DE643F" w14:textId="77777777" w:rsidTr="003412AC">
        <w:tc>
          <w:tcPr>
            <w:tcW w:w="4956" w:type="dxa"/>
          </w:tcPr>
          <w:p w14:paraId="2083EA1E" w14:textId="50C7511C" w:rsidR="003412AC" w:rsidRDefault="003412AC" w:rsidP="003412AC">
            <w:pPr>
              <w:ind w:right="283"/>
              <w:jc w:val="center"/>
              <w:rPr>
                <w:rFonts w:ascii="Century Gothic" w:eastAsia="Calibri" w:hAnsi="Century Gothic" w:cs="Arial"/>
                <w:sz w:val="24"/>
                <w:szCs w:val="24"/>
                <w:lang w:eastAsia="es-MX"/>
              </w:rPr>
            </w:pPr>
            <w:r>
              <w:rPr>
                <w:rFonts w:ascii="Century Gothic" w:eastAsia="Calibri" w:hAnsi="Century Gothic" w:cs="Arial"/>
                <w:sz w:val="24"/>
                <w:szCs w:val="24"/>
                <w:lang w:eastAsia="es-MX"/>
              </w:rPr>
              <w:t>VICTOR HUGO LOZANO POVEDA</w:t>
            </w:r>
          </w:p>
        </w:tc>
        <w:tc>
          <w:tcPr>
            <w:tcW w:w="4956" w:type="dxa"/>
          </w:tcPr>
          <w:p w14:paraId="7FB94022" w14:textId="55B12E2A" w:rsidR="003412AC" w:rsidRDefault="003412AC" w:rsidP="003412AC">
            <w:pPr>
              <w:ind w:right="283"/>
              <w:jc w:val="center"/>
              <w:rPr>
                <w:rFonts w:ascii="Century Gothic" w:eastAsia="Calibri" w:hAnsi="Century Gothic" w:cs="Arial"/>
                <w:sz w:val="24"/>
                <w:szCs w:val="24"/>
                <w:lang w:eastAsia="es-MX"/>
              </w:rPr>
            </w:pPr>
            <w:r>
              <w:rPr>
                <w:rFonts w:ascii="Century Gothic" w:eastAsia="Calibri" w:hAnsi="Century Gothic" w:cs="Arial"/>
                <w:sz w:val="24"/>
                <w:szCs w:val="24"/>
                <w:lang w:eastAsia="es-MX"/>
              </w:rPr>
              <w:t>ABRIL FERREYRO ROSADO</w:t>
            </w:r>
          </w:p>
        </w:tc>
      </w:tr>
      <w:tr w:rsidR="003412AC" w14:paraId="25853B70" w14:textId="77777777" w:rsidTr="003412AC">
        <w:tc>
          <w:tcPr>
            <w:tcW w:w="4956" w:type="dxa"/>
          </w:tcPr>
          <w:p w14:paraId="2DAE9DF3" w14:textId="77777777" w:rsidR="003412AC" w:rsidRDefault="003412AC" w:rsidP="003412AC">
            <w:pPr>
              <w:ind w:right="283"/>
              <w:rPr>
                <w:rFonts w:ascii="Century Gothic" w:eastAsia="Calibri" w:hAnsi="Century Gothic" w:cs="Arial"/>
                <w:sz w:val="24"/>
                <w:szCs w:val="24"/>
                <w:lang w:eastAsia="es-MX"/>
              </w:rPr>
            </w:pPr>
          </w:p>
          <w:p w14:paraId="1EEE4A32" w14:textId="77777777" w:rsidR="003412AC" w:rsidRDefault="003412AC" w:rsidP="003412AC">
            <w:pPr>
              <w:ind w:right="283"/>
              <w:rPr>
                <w:rFonts w:ascii="Century Gothic" w:eastAsia="Calibri" w:hAnsi="Century Gothic" w:cs="Arial"/>
                <w:sz w:val="24"/>
                <w:szCs w:val="24"/>
                <w:lang w:eastAsia="es-MX"/>
              </w:rPr>
            </w:pPr>
          </w:p>
          <w:p w14:paraId="142DF548" w14:textId="77777777" w:rsidR="003412AC" w:rsidRDefault="003412AC" w:rsidP="003412AC">
            <w:pPr>
              <w:ind w:right="283"/>
              <w:jc w:val="center"/>
              <w:rPr>
                <w:rFonts w:ascii="Century Gothic" w:eastAsia="Calibri" w:hAnsi="Century Gothic" w:cs="Arial"/>
                <w:sz w:val="24"/>
                <w:szCs w:val="24"/>
                <w:lang w:eastAsia="es-MX"/>
              </w:rPr>
            </w:pPr>
          </w:p>
          <w:p w14:paraId="6EB87D28" w14:textId="74CAA6A9" w:rsidR="003412AC" w:rsidRDefault="003412AC" w:rsidP="003412AC">
            <w:pPr>
              <w:ind w:right="283"/>
              <w:jc w:val="center"/>
              <w:rPr>
                <w:rFonts w:ascii="Century Gothic" w:eastAsia="Calibri" w:hAnsi="Century Gothic" w:cs="Arial"/>
                <w:sz w:val="24"/>
                <w:szCs w:val="24"/>
                <w:lang w:eastAsia="es-MX"/>
              </w:rPr>
            </w:pPr>
            <w:r>
              <w:rPr>
                <w:rFonts w:ascii="Century Gothic" w:eastAsia="Calibri" w:hAnsi="Century Gothic" w:cs="Arial"/>
                <w:sz w:val="24"/>
                <w:szCs w:val="24"/>
                <w:lang w:eastAsia="es-MX"/>
              </w:rPr>
              <w:t>KAREM FARIDE ACHACH RAMÍREZ</w:t>
            </w:r>
          </w:p>
        </w:tc>
        <w:tc>
          <w:tcPr>
            <w:tcW w:w="4956" w:type="dxa"/>
          </w:tcPr>
          <w:p w14:paraId="36A12E9D" w14:textId="77777777" w:rsidR="003412AC" w:rsidRDefault="003412AC" w:rsidP="003412AC">
            <w:pPr>
              <w:ind w:right="283"/>
              <w:rPr>
                <w:rFonts w:ascii="Century Gothic" w:eastAsia="Calibri" w:hAnsi="Century Gothic" w:cs="Arial"/>
                <w:sz w:val="24"/>
                <w:szCs w:val="24"/>
                <w:lang w:eastAsia="es-MX"/>
              </w:rPr>
            </w:pPr>
          </w:p>
          <w:p w14:paraId="60861DB1" w14:textId="77777777" w:rsidR="003412AC" w:rsidRDefault="003412AC" w:rsidP="003412AC">
            <w:pPr>
              <w:ind w:right="283"/>
              <w:rPr>
                <w:rFonts w:ascii="Century Gothic" w:eastAsia="Calibri" w:hAnsi="Century Gothic" w:cs="Arial"/>
                <w:sz w:val="24"/>
                <w:szCs w:val="24"/>
                <w:lang w:eastAsia="es-MX"/>
              </w:rPr>
            </w:pPr>
          </w:p>
          <w:p w14:paraId="422786CD" w14:textId="77777777" w:rsidR="003412AC" w:rsidRDefault="003412AC" w:rsidP="003412AC">
            <w:pPr>
              <w:ind w:right="283"/>
              <w:rPr>
                <w:rFonts w:ascii="Century Gothic" w:eastAsia="Calibri" w:hAnsi="Century Gothic" w:cs="Arial"/>
                <w:sz w:val="24"/>
                <w:szCs w:val="24"/>
                <w:lang w:eastAsia="es-MX"/>
              </w:rPr>
            </w:pPr>
          </w:p>
          <w:p w14:paraId="36A6512F" w14:textId="523FFA00" w:rsidR="003412AC" w:rsidRDefault="003412AC" w:rsidP="003412AC">
            <w:pPr>
              <w:ind w:right="283"/>
              <w:jc w:val="center"/>
              <w:rPr>
                <w:rFonts w:ascii="Century Gothic" w:eastAsia="Calibri" w:hAnsi="Century Gothic" w:cs="Arial"/>
                <w:sz w:val="24"/>
                <w:szCs w:val="24"/>
                <w:lang w:eastAsia="es-MX"/>
              </w:rPr>
            </w:pPr>
            <w:r>
              <w:rPr>
                <w:rFonts w:ascii="Century Gothic" w:eastAsia="Calibri" w:hAnsi="Century Gothic" w:cs="Arial"/>
                <w:sz w:val="24"/>
                <w:szCs w:val="24"/>
                <w:lang w:eastAsia="es-MX"/>
              </w:rPr>
              <w:t>ERIK RIHANI GONZÁLEZ</w:t>
            </w:r>
          </w:p>
        </w:tc>
      </w:tr>
      <w:tr w:rsidR="003412AC" w14:paraId="5836A857" w14:textId="77777777" w:rsidTr="003412AC">
        <w:tc>
          <w:tcPr>
            <w:tcW w:w="4956" w:type="dxa"/>
          </w:tcPr>
          <w:p w14:paraId="082DAA28" w14:textId="77777777" w:rsidR="003412AC" w:rsidRDefault="003412AC" w:rsidP="003412AC">
            <w:pPr>
              <w:ind w:right="283"/>
              <w:rPr>
                <w:rFonts w:ascii="Century Gothic" w:eastAsia="Calibri" w:hAnsi="Century Gothic" w:cs="Arial"/>
                <w:sz w:val="24"/>
                <w:szCs w:val="24"/>
                <w:lang w:eastAsia="es-MX"/>
              </w:rPr>
            </w:pPr>
          </w:p>
          <w:p w14:paraId="5AE56ADE" w14:textId="77777777" w:rsidR="003412AC" w:rsidRDefault="003412AC" w:rsidP="003412AC">
            <w:pPr>
              <w:ind w:right="283"/>
              <w:rPr>
                <w:rFonts w:ascii="Century Gothic" w:eastAsia="Calibri" w:hAnsi="Century Gothic" w:cs="Arial"/>
                <w:sz w:val="24"/>
                <w:szCs w:val="24"/>
                <w:lang w:eastAsia="es-MX"/>
              </w:rPr>
            </w:pPr>
          </w:p>
          <w:p w14:paraId="2E419DAE" w14:textId="77777777" w:rsidR="003412AC" w:rsidRDefault="003412AC" w:rsidP="003412AC">
            <w:pPr>
              <w:ind w:right="283"/>
              <w:rPr>
                <w:rFonts w:ascii="Century Gothic" w:eastAsia="Calibri" w:hAnsi="Century Gothic" w:cs="Arial"/>
                <w:sz w:val="24"/>
                <w:szCs w:val="24"/>
                <w:lang w:eastAsia="es-MX"/>
              </w:rPr>
            </w:pPr>
          </w:p>
          <w:p w14:paraId="0345F67B" w14:textId="2E36F921" w:rsidR="003412AC" w:rsidRDefault="003412AC" w:rsidP="003412AC">
            <w:pPr>
              <w:ind w:right="283"/>
              <w:jc w:val="center"/>
              <w:rPr>
                <w:rFonts w:ascii="Century Gothic" w:eastAsia="Calibri" w:hAnsi="Century Gothic" w:cs="Arial"/>
                <w:sz w:val="24"/>
                <w:szCs w:val="24"/>
                <w:lang w:eastAsia="es-MX"/>
              </w:rPr>
            </w:pPr>
            <w:r>
              <w:rPr>
                <w:rFonts w:ascii="Century Gothic" w:eastAsia="Calibri" w:hAnsi="Century Gothic" w:cs="Arial"/>
                <w:sz w:val="24"/>
                <w:szCs w:val="24"/>
                <w:lang w:eastAsia="es-MX"/>
              </w:rPr>
              <w:t>DAFNE CELINA LÓPEZ OSORIO</w:t>
            </w:r>
          </w:p>
        </w:tc>
        <w:tc>
          <w:tcPr>
            <w:tcW w:w="4956" w:type="dxa"/>
          </w:tcPr>
          <w:p w14:paraId="264AE1E5" w14:textId="77777777" w:rsidR="003412AC" w:rsidRDefault="003412AC" w:rsidP="003412AC">
            <w:pPr>
              <w:ind w:right="283"/>
              <w:rPr>
                <w:rFonts w:ascii="Century Gothic" w:eastAsia="Calibri" w:hAnsi="Century Gothic" w:cs="Arial"/>
                <w:sz w:val="24"/>
                <w:szCs w:val="24"/>
                <w:lang w:eastAsia="es-MX"/>
              </w:rPr>
            </w:pPr>
          </w:p>
          <w:p w14:paraId="21C8E52F" w14:textId="77777777" w:rsidR="003412AC" w:rsidRDefault="003412AC" w:rsidP="003412AC">
            <w:pPr>
              <w:ind w:right="283"/>
              <w:rPr>
                <w:rFonts w:ascii="Century Gothic" w:eastAsia="Calibri" w:hAnsi="Century Gothic" w:cs="Arial"/>
                <w:sz w:val="24"/>
                <w:szCs w:val="24"/>
                <w:lang w:eastAsia="es-MX"/>
              </w:rPr>
            </w:pPr>
          </w:p>
          <w:p w14:paraId="330D117E" w14:textId="77777777" w:rsidR="003412AC" w:rsidRDefault="003412AC" w:rsidP="003412AC">
            <w:pPr>
              <w:ind w:right="283"/>
              <w:rPr>
                <w:rFonts w:ascii="Century Gothic" w:eastAsia="Calibri" w:hAnsi="Century Gothic" w:cs="Arial"/>
                <w:sz w:val="24"/>
                <w:szCs w:val="24"/>
                <w:lang w:eastAsia="es-MX"/>
              </w:rPr>
            </w:pPr>
          </w:p>
          <w:p w14:paraId="2E0D8867" w14:textId="4CF64FC4" w:rsidR="003412AC" w:rsidRDefault="003412AC" w:rsidP="003412AC">
            <w:pPr>
              <w:ind w:right="283"/>
              <w:jc w:val="center"/>
              <w:rPr>
                <w:rFonts w:ascii="Century Gothic" w:eastAsia="Calibri" w:hAnsi="Century Gothic" w:cs="Arial"/>
                <w:sz w:val="24"/>
                <w:szCs w:val="24"/>
                <w:lang w:eastAsia="es-MX"/>
              </w:rPr>
            </w:pPr>
            <w:r>
              <w:rPr>
                <w:rFonts w:ascii="Century Gothic" w:eastAsia="Calibri" w:hAnsi="Century Gothic" w:cs="Arial"/>
                <w:sz w:val="24"/>
                <w:szCs w:val="24"/>
                <w:lang w:eastAsia="es-MX"/>
              </w:rPr>
              <w:t>LUIS RENÉ FERNÁNDEZ VIDAL</w:t>
            </w:r>
          </w:p>
        </w:tc>
      </w:tr>
      <w:tr w:rsidR="003412AC" w14:paraId="3117F632" w14:textId="77777777" w:rsidTr="003412AC">
        <w:tc>
          <w:tcPr>
            <w:tcW w:w="4956" w:type="dxa"/>
          </w:tcPr>
          <w:p w14:paraId="1764EB50" w14:textId="77777777" w:rsidR="003412AC" w:rsidRDefault="003412AC" w:rsidP="003412AC">
            <w:pPr>
              <w:ind w:right="283"/>
              <w:rPr>
                <w:rFonts w:ascii="Century Gothic" w:eastAsia="Calibri" w:hAnsi="Century Gothic" w:cs="Arial"/>
                <w:sz w:val="24"/>
                <w:szCs w:val="24"/>
                <w:lang w:eastAsia="es-MX"/>
              </w:rPr>
            </w:pPr>
          </w:p>
          <w:p w14:paraId="15A41C0E" w14:textId="77777777" w:rsidR="003412AC" w:rsidRDefault="003412AC" w:rsidP="003412AC">
            <w:pPr>
              <w:ind w:right="283"/>
              <w:rPr>
                <w:rFonts w:ascii="Century Gothic" w:eastAsia="Calibri" w:hAnsi="Century Gothic" w:cs="Arial"/>
                <w:sz w:val="24"/>
                <w:szCs w:val="24"/>
                <w:lang w:eastAsia="es-MX"/>
              </w:rPr>
            </w:pPr>
          </w:p>
          <w:p w14:paraId="53D4FD35" w14:textId="77777777" w:rsidR="003412AC" w:rsidRDefault="003412AC" w:rsidP="003412AC">
            <w:pPr>
              <w:ind w:right="283"/>
              <w:rPr>
                <w:rFonts w:ascii="Century Gothic" w:eastAsia="Calibri" w:hAnsi="Century Gothic" w:cs="Arial"/>
                <w:sz w:val="24"/>
                <w:szCs w:val="24"/>
                <w:lang w:eastAsia="es-MX"/>
              </w:rPr>
            </w:pPr>
          </w:p>
          <w:p w14:paraId="43E5090B" w14:textId="45B29DA5" w:rsidR="003412AC" w:rsidRDefault="003412AC" w:rsidP="003412AC">
            <w:pPr>
              <w:ind w:right="283"/>
              <w:jc w:val="center"/>
              <w:rPr>
                <w:rFonts w:ascii="Century Gothic" w:eastAsia="Calibri" w:hAnsi="Century Gothic" w:cs="Arial"/>
                <w:sz w:val="24"/>
                <w:szCs w:val="24"/>
                <w:lang w:eastAsia="es-MX"/>
              </w:rPr>
            </w:pPr>
            <w:r>
              <w:rPr>
                <w:rFonts w:ascii="Century Gothic" w:eastAsia="Calibri" w:hAnsi="Century Gothic" w:cs="Arial"/>
                <w:sz w:val="24"/>
                <w:szCs w:val="24"/>
                <w:lang w:eastAsia="es-MX"/>
              </w:rPr>
              <w:t>CARMEN GUADALUPE GONZÁLEZ MARTÍN</w:t>
            </w:r>
          </w:p>
        </w:tc>
        <w:tc>
          <w:tcPr>
            <w:tcW w:w="4956" w:type="dxa"/>
          </w:tcPr>
          <w:p w14:paraId="2D02B5F8" w14:textId="77777777" w:rsidR="003412AC" w:rsidRDefault="003412AC" w:rsidP="003412AC">
            <w:pPr>
              <w:ind w:right="283"/>
              <w:rPr>
                <w:rFonts w:ascii="Century Gothic" w:eastAsia="Calibri" w:hAnsi="Century Gothic" w:cs="Arial"/>
                <w:sz w:val="24"/>
                <w:szCs w:val="24"/>
                <w:lang w:eastAsia="es-MX"/>
              </w:rPr>
            </w:pPr>
          </w:p>
          <w:p w14:paraId="5C0BAB28" w14:textId="77777777" w:rsidR="003412AC" w:rsidRDefault="003412AC" w:rsidP="003412AC">
            <w:pPr>
              <w:ind w:right="283"/>
              <w:rPr>
                <w:rFonts w:ascii="Century Gothic" w:eastAsia="Calibri" w:hAnsi="Century Gothic" w:cs="Arial"/>
                <w:sz w:val="24"/>
                <w:szCs w:val="24"/>
                <w:lang w:eastAsia="es-MX"/>
              </w:rPr>
            </w:pPr>
          </w:p>
          <w:p w14:paraId="46B202FC" w14:textId="77777777" w:rsidR="003412AC" w:rsidRDefault="003412AC" w:rsidP="003412AC">
            <w:pPr>
              <w:ind w:right="283"/>
              <w:rPr>
                <w:rFonts w:ascii="Century Gothic" w:eastAsia="Calibri" w:hAnsi="Century Gothic" w:cs="Arial"/>
                <w:sz w:val="24"/>
                <w:szCs w:val="24"/>
                <w:lang w:eastAsia="es-MX"/>
              </w:rPr>
            </w:pPr>
          </w:p>
          <w:p w14:paraId="4498B301" w14:textId="45BDF6D8" w:rsidR="003412AC" w:rsidRDefault="003412AC" w:rsidP="003412AC">
            <w:pPr>
              <w:ind w:right="283"/>
              <w:rPr>
                <w:rFonts w:ascii="Century Gothic" w:eastAsia="Calibri" w:hAnsi="Century Gothic" w:cs="Arial"/>
                <w:sz w:val="24"/>
                <w:szCs w:val="24"/>
                <w:lang w:eastAsia="es-MX"/>
              </w:rPr>
            </w:pPr>
            <w:r>
              <w:rPr>
                <w:rFonts w:ascii="Century Gothic" w:eastAsia="Calibri" w:hAnsi="Century Gothic" w:cs="Arial"/>
                <w:sz w:val="24"/>
                <w:szCs w:val="24"/>
                <w:lang w:eastAsia="es-MX"/>
              </w:rPr>
              <w:t>KARLA VANESSA SALAZAR GONZÁLEZ</w:t>
            </w:r>
          </w:p>
        </w:tc>
      </w:tr>
      <w:tr w:rsidR="003412AC" w14:paraId="0476E1BE" w14:textId="77777777" w:rsidTr="003412AC">
        <w:tc>
          <w:tcPr>
            <w:tcW w:w="4956" w:type="dxa"/>
          </w:tcPr>
          <w:p w14:paraId="176AD7E3" w14:textId="77777777" w:rsidR="003412AC" w:rsidRDefault="003412AC" w:rsidP="003412AC">
            <w:pPr>
              <w:ind w:right="283"/>
              <w:jc w:val="center"/>
              <w:rPr>
                <w:rFonts w:ascii="Century Gothic" w:eastAsia="Calibri" w:hAnsi="Century Gothic" w:cs="Arial"/>
                <w:sz w:val="24"/>
                <w:szCs w:val="24"/>
                <w:lang w:eastAsia="es-MX"/>
              </w:rPr>
            </w:pPr>
          </w:p>
          <w:p w14:paraId="78E8E273" w14:textId="77777777" w:rsidR="003412AC" w:rsidRDefault="003412AC" w:rsidP="003412AC">
            <w:pPr>
              <w:ind w:right="283"/>
              <w:jc w:val="center"/>
              <w:rPr>
                <w:rFonts w:ascii="Century Gothic" w:eastAsia="Calibri" w:hAnsi="Century Gothic" w:cs="Arial"/>
                <w:sz w:val="24"/>
                <w:szCs w:val="24"/>
                <w:lang w:eastAsia="es-MX"/>
              </w:rPr>
            </w:pPr>
          </w:p>
          <w:p w14:paraId="19443E74" w14:textId="77777777" w:rsidR="003412AC" w:rsidRDefault="003412AC" w:rsidP="003412AC">
            <w:pPr>
              <w:ind w:right="283"/>
              <w:jc w:val="center"/>
              <w:rPr>
                <w:rFonts w:ascii="Century Gothic" w:eastAsia="Calibri" w:hAnsi="Century Gothic" w:cs="Arial"/>
                <w:sz w:val="24"/>
                <w:szCs w:val="24"/>
                <w:lang w:eastAsia="es-MX"/>
              </w:rPr>
            </w:pPr>
          </w:p>
          <w:p w14:paraId="7F4CA4EA" w14:textId="3E070A70" w:rsidR="003412AC" w:rsidRDefault="003412AC" w:rsidP="003412AC">
            <w:pPr>
              <w:ind w:right="283"/>
              <w:jc w:val="center"/>
              <w:rPr>
                <w:rFonts w:ascii="Century Gothic" w:eastAsia="Calibri" w:hAnsi="Century Gothic" w:cs="Arial"/>
                <w:sz w:val="24"/>
                <w:szCs w:val="24"/>
                <w:lang w:eastAsia="es-MX"/>
              </w:rPr>
            </w:pPr>
            <w:r>
              <w:rPr>
                <w:rFonts w:ascii="Century Gothic" w:eastAsia="Calibri" w:hAnsi="Century Gothic" w:cs="Arial"/>
                <w:sz w:val="24"/>
                <w:szCs w:val="24"/>
                <w:lang w:eastAsia="es-MX"/>
              </w:rPr>
              <w:t>MANUELA DE JESÚS COCOM BOLIO</w:t>
            </w:r>
          </w:p>
        </w:tc>
        <w:tc>
          <w:tcPr>
            <w:tcW w:w="4956" w:type="dxa"/>
          </w:tcPr>
          <w:p w14:paraId="6A1CB889" w14:textId="77777777" w:rsidR="003412AC" w:rsidRDefault="003412AC" w:rsidP="003412AC">
            <w:pPr>
              <w:ind w:right="283"/>
              <w:jc w:val="center"/>
              <w:rPr>
                <w:rFonts w:ascii="Century Gothic" w:eastAsia="Calibri" w:hAnsi="Century Gothic" w:cs="Arial"/>
                <w:sz w:val="24"/>
                <w:szCs w:val="24"/>
                <w:lang w:eastAsia="es-MX"/>
              </w:rPr>
            </w:pPr>
          </w:p>
          <w:p w14:paraId="6AE05C26" w14:textId="77777777" w:rsidR="003412AC" w:rsidRDefault="003412AC" w:rsidP="003412AC">
            <w:pPr>
              <w:ind w:right="283"/>
              <w:jc w:val="center"/>
              <w:rPr>
                <w:rFonts w:ascii="Century Gothic" w:eastAsia="Calibri" w:hAnsi="Century Gothic" w:cs="Arial"/>
                <w:sz w:val="24"/>
                <w:szCs w:val="24"/>
                <w:lang w:eastAsia="es-MX"/>
              </w:rPr>
            </w:pPr>
          </w:p>
          <w:p w14:paraId="3C3C0BBA" w14:textId="77777777" w:rsidR="003412AC" w:rsidRDefault="003412AC" w:rsidP="003412AC">
            <w:pPr>
              <w:ind w:right="283"/>
              <w:jc w:val="center"/>
              <w:rPr>
                <w:rFonts w:ascii="Century Gothic" w:eastAsia="Calibri" w:hAnsi="Century Gothic" w:cs="Arial"/>
                <w:sz w:val="24"/>
                <w:szCs w:val="24"/>
                <w:lang w:eastAsia="es-MX"/>
              </w:rPr>
            </w:pPr>
          </w:p>
          <w:p w14:paraId="3A5FB386" w14:textId="2F283C49" w:rsidR="003412AC" w:rsidRDefault="003412AC" w:rsidP="003412AC">
            <w:pPr>
              <w:ind w:right="283"/>
              <w:jc w:val="center"/>
              <w:rPr>
                <w:rFonts w:ascii="Century Gothic" w:eastAsia="Calibri" w:hAnsi="Century Gothic" w:cs="Arial"/>
                <w:sz w:val="24"/>
                <w:szCs w:val="24"/>
                <w:lang w:eastAsia="es-MX"/>
              </w:rPr>
            </w:pPr>
            <w:r>
              <w:rPr>
                <w:rFonts w:ascii="Century Gothic" w:eastAsia="Calibri" w:hAnsi="Century Gothic" w:cs="Arial"/>
                <w:sz w:val="24"/>
                <w:szCs w:val="24"/>
                <w:lang w:eastAsia="es-MX"/>
              </w:rPr>
              <w:t>ESTEBAN ABRAHAM MACARI</w:t>
            </w:r>
          </w:p>
        </w:tc>
      </w:tr>
      <w:tr w:rsidR="003412AC" w14:paraId="0E3C39AC" w14:textId="77777777" w:rsidTr="003412AC">
        <w:tc>
          <w:tcPr>
            <w:tcW w:w="4956" w:type="dxa"/>
          </w:tcPr>
          <w:p w14:paraId="669AA407" w14:textId="77777777" w:rsidR="003412AC" w:rsidRDefault="003412AC" w:rsidP="003412AC">
            <w:pPr>
              <w:ind w:right="283"/>
              <w:jc w:val="center"/>
              <w:rPr>
                <w:rFonts w:ascii="Century Gothic" w:eastAsia="Calibri" w:hAnsi="Century Gothic" w:cs="Arial"/>
                <w:sz w:val="24"/>
                <w:szCs w:val="24"/>
                <w:lang w:eastAsia="es-MX"/>
              </w:rPr>
            </w:pPr>
          </w:p>
          <w:p w14:paraId="559388FE" w14:textId="77777777" w:rsidR="003412AC" w:rsidRDefault="003412AC" w:rsidP="003412AC">
            <w:pPr>
              <w:ind w:right="283"/>
              <w:jc w:val="center"/>
              <w:rPr>
                <w:rFonts w:ascii="Century Gothic" w:eastAsia="Calibri" w:hAnsi="Century Gothic" w:cs="Arial"/>
                <w:sz w:val="24"/>
                <w:szCs w:val="24"/>
                <w:lang w:eastAsia="es-MX"/>
              </w:rPr>
            </w:pPr>
          </w:p>
          <w:p w14:paraId="17FB5A0F" w14:textId="77777777" w:rsidR="003412AC" w:rsidRDefault="003412AC" w:rsidP="003412AC">
            <w:pPr>
              <w:ind w:right="283"/>
              <w:jc w:val="center"/>
              <w:rPr>
                <w:rFonts w:ascii="Century Gothic" w:eastAsia="Calibri" w:hAnsi="Century Gothic" w:cs="Arial"/>
                <w:sz w:val="24"/>
                <w:szCs w:val="24"/>
                <w:lang w:eastAsia="es-MX"/>
              </w:rPr>
            </w:pPr>
          </w:p>
          <w:p w14:paraId="5FBEE321" w14:textId="788185E5" w:rsidR="003412AC" w:rsidRDefault="003412AC" w:rsidP="003412AC">
            <w:pPr>
              <w:ind w:right="283"/>
              <w:jc w:val="center"/>
              <w:rPr>
                <w:rFonts w:ascii="Century Gothic" w:eastAsia="Calibri" w:hAnsi="Century Gothic" w:cs="Arial"/>
                <w:sz w:val="24"/>
                <w:szCs w:val="24"/>
                <w:lang w:eastAsia="es-MX"/>
              </w:rPr>
            </w:pPr>
            <w:r>
              <w:rPr>
                <w:rFonts w:ascii="Century Gothic" w:eastAsia="Calibri" w:hAnsi="Century Gothic" w:cs="Arial"/>
                <w:sz w:val="24"/>
                <w:szCs w:val="24"/>
                <w:lang w:eastAsia="es-MX"/>
              </w:rPr>
              <w:t>RAÚL ANTONIO ROMERO CHEL</w:t>
            </w:r>
          </w:p>
        </w:tc>
        <w:tc>
          <w:tcPr>
            <w:tcW w:w="4956" w:type="dxa"/>
          </w:tcPr>
          <w:p w14:paraId="20BAA680" w14:textId="77777777" w:rsidR="003412AC" w:rsidRDefault="003412AC" w:rsidP="003412AC">
            <w:pPr>
              <w:ind w:right="283"/>
              <w:jc w:val="center"/>
              <w:rPr>
                <w:rFonts w:ascii="Century Gothic" w:eastAsia="Calibri" w:hAnsi="Century Gothic" w:cs="Arial"/>
                <w:sz w:val="24"/>
                <w:szCs w:val="24"/>
                <w:lang w:eastAsia="es-MX"/>
              </w:rPr>
            </w:pPr>
          </w:p>
          <w:p w14:paraId="3392470E" w14:textId="77777777" w:rsidR="003412AC" w:rsidRDefault="003412AC" w:rsidP="003412AC">
            <w:pPr>
              <w:ind w:right="283"/>
              <w:jc w:val="center"/>
              <w:rPr>
                <w:rFonts w:ascii="Century Gothic" w:eastAsia="Calibri" w:hAnsi="Century Gothic" w:cs="Arial"/>
                <w:sz w:val="24"/>
                <w:szCs w:val="24"/>
                <w:lang w:eastAsia="es-MX"/>
              </w:rPr>
            </w:pPr>
          </w:p>
          <w:p w14:paraId="0DBCB3AA" w14:textId="77777777" w:rsidR="003412AC" w:rsidRDefault="003412AC" w:rsidP="003412AC">
            <w:pPr>
              <w:ind w:right="283"/>
              <w:jc w:val="center"/>
              <w:rPr>
                <w:rFonts w:ascii="Century Gothic" w:eastAsia="Calibri" w:hAnsi="Century Gothic" w:cs="Arial"/>
                <w:sz w:val="24"/>
                <w:szCs w:val="24"/>
                <w:lang w:eastAsia="es-MX"/>
              </w:rPr>
            </w:pPr>
          </w:p>
          <w:p w14:paraId="391C502A" w14:textId="770A0778" w:rsidR="003412AC" w:rsidRDefault="003412AC" w:rsidP="003412AC">
            <w:pPr>
              <w:ind w:right="283"/>
              <w:jc w:val="center"/>
              <w:rPr>
                <w:rFonts w:ascii="Century Gothic" w:eastAsia="Calibri" w:hAnsi="Century Gothic" w:cs="Arial"/>
                <w:sz w:val="24"/>
                <w:szCs w:val="24"/>
                <w:lang w:eastAsia="es-MX"/>
              </w:rPr>
            </w:pPr>
            <w:r>
              <w:rPr>
                <w:rFonts w:ascii="Century Gothic" w:eastAsia="Calibri" w:hAnsi="Century Gothic" w:cs="Arial"/>
                <w:sz w:val="24"/>
                <w:szCs w:val="24"/>
                <w:lang w:eastAsia="es-MX"/>
              </w:rPr>
              <w:t>MELBA ROSANA GAMBOA ÁVILA</w:t>
            </w:r>
          </w:p>
        </w:tc>
      </w:tr>
      <w:tr w:rsidR="003412AC" w14:paraId="5F9FE975" w14:textId="77777777" w:rsidTr="003412AC">
        <w:tc>
          <w:tcPr>
            <w:tcW w:w="4956" w:type="dxa"/>
          </w:tcPr>
          <w:p w14:paraId="1B45307D" w14:textId="77777777" w:rsidR="003412AC" w:rsidRDefault="003412AC" w:rsidP="003412AC">
            <w:pPr>
              <w:ind w:right="283"/>
              <w:jc w:val="center"/>
              <w:rPr>
                <w:rFonts w:ascii="Century Gothic" w:eastAsia="Calibri" w:hAnsi="Century Gothic" w:cs="Arial"/>
                <w:sz w:val="24"/>
                <w:szCs w:val="24"/>
                <w:lang w:eastAsia="es-MX"/>
              </w:rPr>
            </w:pPr>
          </w:p>
          <w:p w14:paraId="4861F9EF" w14:textId="77777777" w:rsidR="003412AC" w:rsidRDefault="003412AC" w:rsidP="003412AC">
            <w:pPr>
              <w:ind w:right="283"/>
              <w:jc w:val="center"/>
              <w:rPr>
                <w:rFonts w:ascii="Century Gothic" w:eastAsia="Calibri" w:hAnsi="Century Gothic" w:cs="Arial"/>
                <w:sz w:val="24"/>
                <w:szCs w:val="24"/>
                <w:lang w:eastAsia="es-MX"/>
              </w:rPr>
            </w:pPr>
          </w:p>
          <w:p w14:paraId="71BE2D73" w14:textId="77777777" w:rsidR="003412AC" w:rsidRDefault="003412AC" w:rsidP="003412AC">
            <w:pPr>
              <w:ind w:right="283"/>
              <w:jc w:val="center"/>
              <w:rPr>
                <w:rFonts w:ascii="Century Gothic" w:eastAsia="Calibri" w:hAnsi="Century Gothic" w:cs="Arial"/>
                <w:sz w:val="24"/>
                <w:szCs w:val="24"/>
                <w:lang w:eastAsia="es-MX"/>
              </w:rPr>
            </w:pPr>
          </w:p>
          <w:p w14:paraId="377D29DE" w14:textId="2634AC5F" w:rsidR="003412AC" w:rsidRDefault="003412AC" w:rsidP="003412AC">
            <w:pPr>
              <w:ind w:right="283"/>
              <w:jc w:val="center"/>
              <w:rPr>
                <w:rFonts w:ascii="Century Gothic" w:eastAsia="Calibri" w:hAnsi="Century Gothic" w:cs="Arial"/>
                <w:sz w:val="24"/>
                <w:szCs w:val="24"/>
                <w:lang w:eastAsia="es-MX"/>
              </w:rPr>
            </w:pPr>
            <w:r>
              <w:rPr>
                <w:rFonts w:ascii="Century Gothic" w:eastAsia="Calibri" w:hAnsi="Century Gothic" w:cs="Arial"/>
                <w:sz w:val="24"/>
                <w:szCs w:val="24"/>
                <w:lang w:eastAsia="es-MX"/>
              </w:rPr>
              <w:t>INGRID DEL PILAR SANTOS DÍAZ</w:t>
            </w:r>
          </w:p>
        </w:tc>
        <w:tc>
          <w:tcPr>
            <w:tcW w:w="4956" w:type="dxa"/>
          </w:tcPr>
          <w:p w14:paraId="27E276A3" w14:textId="77777777" w:rsidR="003412AC" w:rsidRDefault="003412AC" w:rsidP="003412AC">
            <w:pPr>
              <w:ind w:right="283"/>
              <w:jc w:val="center"/>
              <w:rPr>
                <w:rFonts w:ascii="Century Gothic" w:eastAsia="Calibri" w:hAnsi="Century Gothic" w:cs="Arial"/>
                <w:sz w:val="24"/>
                <w:szCs w:val="24"/>
                <w:lang w:eastAsia="es-MX"/>
              </w:rPr>
            </w:pPr>
          </w:p>
          <w:p w14:paraId="35EE0762" w14:textId="77777777" w:rsidR="003412AC" w:rsidRDefault="003412AC" w:rsidP="003412AC">
            <w:pPr>
              <w:ind w:right="283"/>
              <w:jc w:val="center"/>
              <w:rPr>
                <w:rFonts w:ascii="Century Gothic" w:eastAsia="Calibri" w:hAnsi="Century Gothic" w:cs="Arial"/>
                <w:sz w:val="24"/>
                <w:szCs w:val="24"/>
                <w:lang w:eastAsia="es-MX"/>
              </w:rPr>
            </w:pPr>
          </w:p>
          <w:p w14:paraId="079E0EF9" w14:textId="77777777" w:rsidR="003412AC" w:rsidRDefault="003412AC" w:rsidP="003412AC">
            <w:pPr>
              <w:ind w:right="283"/>
              <w:jc w:val="center"/>
              <w:rPr>
                <w:rFonts w:ascii="Century Gothic" w:eastAsia="Calibri" w:hAnsi="Century Gothic" w:cs="Arial"/>
                <w:sz w:val="24"/>
                <w:szCs w:val="24"/>
                <w:lang w:eastAsia="es-MX"/>
              </w:rPr>
            </w:pPr>
          </w:p>
          <w:p w14:paraId="57BBEDD5" w14:textId="0930BC25" w:rsidR="003412AC" w:rsidRDefault="003412AC" w:rsidP="003412AC">
            <w:pPr>
              <w:ind w:right="283"/>
              <w:jc w:val="center"/>
              <w:rPr>
                <w:rFonts w:ascii="Century Gothic" w:eastAsia="Calibri" w:hAnsi="Century Gothic" w:cs="Arial"/>
                <w:sz w:val="24"/>
                <w:szCs w:val="24"/>
                <w:lang w:eastAsia="es-MX"/>
              </w:rPr>
            </w:pPr>
            <w:r>
              <w:rPr>
                <w:rFonts w:ascii="Century Gothic" w:eastAsia="Calibri" w:hAnsi="Century Gothic" w:cs="Arial"/>
                <w:sz w:val="24"/>
                <w:szCs w:val="24"/>
                <w:lang w:eastAsia="es-MX"/>
              </w:rPr>
              <w:t>JESÚS EFRÉN PÉREZ BALLOTE</w:t>
            </w:r>
          </w:p>
        </w:tc>
      </w:tr>
    </w:tbl>
    <w:p w14:paraId="5A7F8043" w14:textId="309C0B02" w:rsidR="0018204C" w:rsidRPr="00B37018" w:rsidRDefault="0018204C" w:rsidP="003412AC">
      <w:pPr>
        <w:ind w:right="283"/>
        <w:rPr>
          <w:rFonts w:ascii="Century Gothic" w:hAnsi="Century Gothic"/>
          <w:sz w:val="18"/>
          <w:szCs w:val="24"/>
        </w:rPr>
      </w:pPr>
      <w:bookmarkStart w:id="0" w:name="_GoBack"/>
      <w:bookmarkEnd w:id="0"/>
    </w:p>
    <w:sectPr w:rsidR="0018204C" w:rsidRPr="00B37018" w:rsidSect="00DD2EAA">
      <w:headerReference w:type="default" r:id="rId8"/>
      <w:footerReference w:type="default" r:id="rId9"/>
      <w:pgSz w:w="12240" w:h="15840" w:code="1"/>
      <w:pgMar w:top="2663" w:right="900" w:bottom="1418" w:left="1418" w:header="567" w:footer="363"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54E98" w14:textId="77777777" w:rsidR="00870748" w:rsidRDefault="00870748" w:rsidP="00D01861">
      <w:pPr>
        <w:spacing w:after="0" w:line="240" w:lineRule="auto"/>
      </w:pPr>
      <w:r>
        <w:separator/>
      </w:r>
    </w:p>
  </w:endnote>
  <w:endnote w:type="continuationSeparator" w:id="0">
    <w:p w14:paraId="4DDE8DEE" w14:textId="77777777" w:rsidR="00870748" w:rsidRDefault="00870748" w:rsidP="00D0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BFEF8" w14:textId="77777777" w:rsidR="0018204C" w:rsidRPr="00913C4E" w:rsidRDefault="0018204C" w:rsidP="000B6318">
    <w:pPr>
      <w:pStyle w:val="Piedepgina"/>
      <w:jc w:val="center"/>
      <w:rPr>
        <w:rFonts w:ascii="Century Gothic" w:hAnsi="Century Gothic"/>
        <w:b/>
        <w:sz w:val="18"/>
      </w:rPr>
    </w:pPr>
    <w:r w:rsidRPr="00913C4E">
      <w:rPr>
        <w:rFonts w:ascii="Century Gothic" w:hAnsi="Century Gothic"/>
        <w:b/>
        <w:sz w:val="18"/>
      </w:rPr>
      <w:t xml:space="preserve">Periférico Poniente Tablaje Catastral 33083 Entre Fiscalía General del Estado y Silos </w:t>
    </w:r>
    <w:proofErr w:type="spellStart"/>
    <w:r w:rsidRPr="00913C4E">
      <w:rPr>
        <w:rFonts w:ascii="Century Gothic" w:hAnsi="Century Gothic"/>
        <w:b/>
        <w:sz w:val="18"/>
      </w:rPr>
      <w:t>Hidrogenadora</w:t>
    </w:r>
    <w:proofErr w:type="spellEnd"/>
    <w:r w:rsidRPr="00913C4E">
      <w:rPr>
        <w:rFonts w:ascii="Century Gothic" w:hAnsi="Century Gothic"/>
        <w:b/>
        <w:sz w:val="18"/>
      </w:rPr>
      <w:t xml:space="preserve"> Yucateca.</w:t>
    </w:r>
  </w:p>
  <w:p w14:paraId="64F140A4" w14:textId="77777777" w:rsidR="0018204C" w:rsidRPr="00913C4E" w:rsidRDefault="0018204C" w:rsidP="00671671">
    <w:pPr>
      <w:pStyle w:val="Piedepgina"/>
      <w:tabs>
        <w:tab w:val="center" w:pos="4961"/>
        <w:tab w:val="left" w:pos="8175"/>
      </w:tabs>
      <w:rPr>
        <w:rFonts w:ascii="Century Gothic" w:hAnsi="Century Gothic"/>
        <w:b/>
        <w:sz w:val="18"/>
      </w:rPr>
    </w:pPr>
    <w:r w:rsidRPr="00913C4E">
      <w:rPr>
        <w:rFonts w:ascii="Century Gothic" w:hAnsi="Century Gothic"/>
        <w:b/>
        <w:sz w:val="18"/>
      </w:rPr>
      <w:tab/>
      <w:t>Col. Juan Pablo II Alborada. C.P. 97246, Mérida, Yucatán.</w:t>
    </w:r>
    <w:r w:rsidRPr="00913C4E">
      <w:rPr>
        <w:rFonts w:ascii="Century Gothic" w:hAnsi="Century Gothic"/>
        <w:b/>
        <w:sz w:val="18"/>
      </w:rPr>
      <w:tab/>
    </w:r>
  </w:p>
  <w:p w14:paraId="1649B789" w14:textId="77777777" w:rsidR="0018204C" w:rsidRPr="00913C4E" w:rsidRDefault="0018204C" w:rsidP="000B6318">
    <w:pPr>
      <w:pStyle w:val="Piedepgina"/>
      <w:jc w:val="center"/>
      <w:rPr>
        <w:rFonts w:ascii="Century Gothic" w:hAnsi="Century Gothic"/>
        <w:b/>
        <w:sz w:val="18"/>
      </w:rPr>
    </w:pPr>
    <w:r w:rsidRPr="00913C4E">
      <w:rPr>
        <w:rFonts w:ascii="Century Gothic" w:hAnsi="Century Gothic"/>
        <w:b/>
        <w:sz w:val="18"/>
      </w:rPr>
      <w:t>Conmutador: 930-36-00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A7DFC" w14:textId="77777777" w:rsidR="00870748" w:rsidRDefault="00870748" w:rsidP="00D01861">
      <w:pPr>
        <w:spacing w:after="0" w:line="240" w:lineRule="auto"/>
      </w:pPr>
      <w:r>
        <w:separator/>
      </w:r>
    </w:p>
  </w:footnote>
  <w:footnote w:type="continuationSeparator" w:id="0">
    <w:p w14:paraId="25861A18" w14:textId="77777777" w:rsidR="00870748" w:rsidRDefault="00870748" w:rsidP="00D01861">
      <w:pPr>
        <w:spacing w:after="0" w:line="240" w:lineRule="auto"/>
      </w:pPr>
      <w:r>
        <w:continuationSeparator/>
      </w:r>
    </w:p>
  </w:footnote>
  <w:footnote w:id="1">
    <w:p w14:paraId="565B84ED" w14:textId="5725EAB1" w:rsidR="00FB29A3" w:rsidRPr="00FB29A3" w:rsidRDefault="00FB29A3">
      <w:pPr>
        <w:pStyle w:val="Textonotapie"/>
        <w:rPr>
          <w:lang w:val="es-MX"/>
        </w:rPr>
      </w:pPr>
      <w:r>
        <w:rPr>
          <w:rStyle w:val="Refdenotaalpie"/>
        </w:rPr>
        <w:footnoteRef/>
      </w:r>
      <w:r>
        <w:t xml:space="preserve"> </w:t>
      </w:r>
      <w:r w:rsidRPr="00FB29A3">
        <w:rPr>
          <w:lang w:val="es-MX"/>
        </w:rPr>
        <w:t xml:space="preserve">ONU Mujeres, </w:t>
      </w:r>
      <w:r w:rsidRPr="00FB29A3">
        <w:rPr>
          <w:i/>
          <w:iCs/>
          <w:lang w:val="es-MX"/>
        </w:rPr>
        <w:t xml:space="preserve">Ataques con ácido, </w:t>
      </w:r>
      <w:hyperlink r:id="rId1" w:history="1">
        <w:r w:rsidRPr="00695FE4">
          <w:rPr>
            <w:rStyle w:val="Hipervnculo"/>
            <w:i/>
            <w:iCs/>
            <w:lang w:val="es-MX"/>
          </w:rPr>
          <w:t>https://www.endvawnow.org/es/articles/607-ataques-con-cido.html</w:t>
        </w:r>
      </w:hyperlink>
      <w:r>
        <w:rPr>
          <w:i/>
          <w:iCs/>
          <w:lang w:val="es-MX"/>
        </w:rPr>
        <w:t xml:space="preserve"> </w:t>
      </w:r>
    </w:p>
  </w:footnote>
  <w:footnote w:id="2">
    <w:p w14:paraId="2DA4C4C2" w14:textId="1E76B10B" w:rsidR="00FB29A3" w:rsidRPr="00FB29A3" w:rsidRDefault="00FB29A3">
      <w:pPr>
        <w:pStyle w:val="Textonotapie"/>
        <w:rPr>
          <w:lang w:val="es-MX"/>
        </w:rPr>
      </w:pPr>
      <w:r>
        <w:rPr>
          <w:rStyle w:val="Refdenotaalpie"/>
        </w:rPr>
        <w:footnoteRef/>
      </w:r>
      <w:r>
        <w:t xml:space="preserve"> </w:t>
      </w:r>
      <w:r w:rsidRPr="00FB29A3">
        <w:rPr>
          <w:lang w:val="es-MX"/>
        </w:rPr>
        <w:t xml:space="preserve">CONAPRED, </w:t>
      </w:r>
      <w:r w:rsidRPr="00FB29A3">
        <w:rPr>
          <w:i/>
          <w:iCs/>
          <w:lang w:val="es-MX"/>
        </w:rPr>
        <w:t xml:space="preserve">Violencia de género: ácido en la cara, la marca de la posesión machista, </w:t>
      </w:r>
      <w:hyperlink r:id="rId2" w:history="1">
        <w:r w:rsidRPr="00695FE4">
          <w:rPr>
            <w:rStyle w:val="Hipervnculo"/>
            <w:lang w:val="es-MX"/>
          </w:rPr>
          <w:t>https://www.conapred.org.mx/index.php?contenido=noticias&amp;id=2568&amp;id_opcion=&amp;op=447</w:t>
        </w:r>
      </w:hyperlink>
      <w:r>
        <w:rPr>
          <w:lang w:val="es-MX"/>
        </w:rPr>
        <w:t xml:space="preserve"> </w:t>
      </w:r>
    </w:p>
  </w:footnote>
  <w:footnote w:id="3">
    <w:p w14:paraId="31A2FB10" w14:textId="3352E84C" w:rsidR="00FB29A3" w:rsidRPr="00FB29A3" w:rsidRDefault="00FB29A3">
      <w:pPr>
        <w:pStyle w:val="Textonotapie"/>
        <w:rPr>
          <w:lang w:val="es-MX"/>
        </w:rPr>
      </w:pPr>
      <w:r>
        <w:rPr>
          <w:rStyle w:val="Refdenotaalpie"/>
        </w:rPr>
        <w:footnoteRef/>
      </w:r>
      <w:r>
        <w:t xml:space="preserve"> </w:t>
      </w:r>
      <w:r w:rsidRPr="00FB29A3">
        <w:rPr>
          <w:lang w:val="es-MX"/>
        </w:rPr>
        <w:t xml:space="preserve">INEGI, </w:t>
      </w:r>
      <w:r w:rsidRPr="00FB29A3">
        <w:rPr>
          <w:i/>
          <w:iCs/>
          <w:lang w:val="es-MX"/>
        </w:rPr>
        <w:t>Estadísticas a propósito del Día Internacional de la Eliminación de la Violencia Contra La Mujer</w:t>
      </w:r>
      <w:r w:rsidRPr="00FB29A3">
        <w:rPr>
          <w:lang w:val="es-MX"/>
        </w:rPr>
        <w:t xml:space="preserve">, </w:t>
      </w:r>
      <w:hyperlink r:id="rId3" w:history="1">
        <w:r w:rsidRPr="00695FE4">
          <w:rPr>
            <w:rStyle w:val="Hipervnculo"/>
            <w:lang w:val="es-MX"/>
          </w:rPr>
          <w:t>https://www.inegi.org.mx/contenidos/saladeprensa/aproposito/2020/Violencia2020_Nal.pdf</w:t>
        </w:r>
      </w:hyperlink>
      <w:r>
        <w:rPr>
          <w:lang w:val="es-MX"/>
        </w:rPr>
        <w:t xml:space="preserve"> </w:t>
      </w:r>
    </w:p>
  </w:footnote>
  <w:footnote w:id="4">
    <w:p w14:paraId="3431A1CC" w14:textId="5AB095E1" w:rsidR="00FB29A3" w:rsidRPr="00FB29A3" w:rsidRDefault="00FB29A3">
      <w:pPr>
        <w:pStyle w:val="Textonotapie"/>
        <w:rPr>
          <w:lang w:val="es-MX"/>
        </w:rPr>
      </w:pPr>
      <w:r>
        <w:rPr>
          <w:rStyle w:val="Refdenotaalpie"/>
        </w:rPr>
        <w:footnoteRef/>
      </w:r>
      <w:r>
        <w:t xml:space="preserve"> </w:t>
      </w:r>
      <w:proofErr w:type="spellStart"/>
      <w:r w:rsidRPr="00FB29A3">
        <w:rPr>
          <w:lang w:val="es-MX"/>
        </w:rPr>
        <w:t>Acid</w:t>
      </w:r>
      <w:proofErr w:type="spellEnd"/>
      <w:r w:rsidRPr="00FB29A3">
        <w:rPr>
          <w:lang w:val="es-MX"/>
        </w:rPr>
        <w:t xml:space="preserve"> </w:t>
      </w:r>
      <w:proofErr w:type="spellStart"/>
      <w:r w:rsidRPr="00FB29A3">
        <w:rPr>
          <w:lang w:val="es-MX"/>
        </w:rPr>
        <w:t>Survivors</w:t>
      </w:r>
      <w:proofErr w:type="spellEnd"/>
      <w:r w:rsidRPr="00FB29A3">
        <w:rPr>
          <w:lang w:val="es-MX"/>
        </w:rPr>
        <w:t xml:space="preserve"> Trust International, </w:t>
      </w:r>
      <w:r w:rsidRPr="00FB29A3">
        <w:rPr>
          <w:i/>
          <w:iCs/>
          <w:lang w:val="es-MX"/>
        </w:rPr>
        <w:t xml:space="preserve">A </w:t>
      </w:r>
      <w:proofErr w:type="spellStart"/>
      <w:r w:rsidRPr="00FB29A3">
        <w:rPr>
          <w:i/>
          <w:iCs/>
          <w:lang w:val="es-MX"/>
        </w:rPr>
        <w:t>world</w:t>
      </w:r>
      <w:proofErr w:type="spellEnd"/>
      <w:r w:rsidRPr="00FB29A3">
        <w:rPr>
          <w:i/>
          <w:iCs/>
          <w:lang w:val="es-MX"/>
        </w:rPr>
        <w:t xml:space="preserve"> </w:t>
      </w:r>
      <w:proofErr w:type="spellStart"/>
      <w:r w:rsidRPr="00FB29A3">
        <w:rPr>
          <w:i/>
          <w:iCs/>
          <w:lang w:val="es-MX"/>
        </w:rPr>
        <w:t>wide</w:t>
      </w:r>
      <w:proofErr w:type="spellEnd"/>
      <w:r w:rsidRPr="00FB29A3">
        <w:rPr>
          <w:i/>
          <w:iCs/>
          <w:lang w:val="es-MX"/>
        </w:rPr>
        <w:t xml:space="preserve"> problema, </w:t>
      </w:r>
      <w:hyperlink r:id="rId4" w:history="1">
        <w:r w:rsidRPr="00695FE4">
          <w:rPr>
            <w:rStyle w:val="Hipervnculo"/>
            <w:i/>
            <w:iCs/>
            <w:lang w:val="es-MX"/>
          </w:rPr>
          <w:t>https://www.asti.org.uk/a-worldwide-problem.html</w:t>
        </w:r>
      </w:hyperlink>
      <w:r>
        <w:rPr>
          <w:i/>
          <w:iCs/>
          <w:lang w:val="es-MX"/>
        </w:rPr>
        <w:t xml:space="preserve"> </w:t>
      </w:r>
    </w:p>
  </w:footnote>
  <w:footnote w:id="5">
    <w:p w14:paraId="4D899622" w14:textId="03793BD0" w:rsidR="00FB29A3" w:rsidRPr="00FB29A3" w:rsidRDefault="00FB29A3">
      <w:pPr>
        <w:pStyle w:val="Textonotapie"/>
        <w:rPr>
          <w:lang w:val="es-MX"/>
        </w:rPr>
      </w:pPr>
      <w:r>
        <w:rPr>
          <w:rStyle w:val="Refdenotaalpie"/>
        </w:rPr>
        <w:footnoteRef/>
      </w:r>
      <w:r>
        <w:t xml:space="preserve"> </w:t>
      </w:r>
      <w:r w:rsidRPr="00FB29A3">
        <w:rPr>
          <w:lang w:val="es-MX"/>
        </w:rPr>
        <w:t xml:space="preserve">Universidad Complutense, Quemaduras químicas, </w:t>
      </w:r>
      <w:hyperlink r:id="rId5" w:history="1">
        <w:r w:rsidRPr="00695FE4">
          <w:rPr>
            <w:rStyle w:val="Hipervnculo"/>
            <w:lang w:val="es-MX"/>
          </w:rPr>
          <w:t>https://www.ucm.es/data/cont/docs/420-2014-02-07-QUEMADURAS-QUIMICAS-8Enero-2013.pdf</w:t>
        </w:r>
      </w:hyperlink>
      <w:r>
        <w:rPr>
          <w:lang w:val="es-MX"/>
        </w:rPr>
        <w:t xml:space="preserve"> </w:t>
      </w:r>
    </w:p>
  </w:footnote>
  <w:footnote w:id="6">
    <w:p w14:paraId="6BBBB229" w14:textId="2CB66B6B" w:rsidR="00FB29A3" w:rsidRPr="00FB29A3" w:rsidRDefault="00FB29A3">
      <w:pPr>
        <w:pStyle w:val="Textonotapie"/>
        <w:rPr>
          <w:lang w:val="es-MX"/>
        </w:rPr>
      </w:pPr>
      <w:r>
        <w:rPr>
          <w:rStyle w:val="Refdenotaalpie"/>
        </w:rPr>
        <w:footnoteRef/>
      </w:r>
      <w:r>
        <w:t xml:space="preserve"> </w:t>
      </w:r>
      <w:proofErr w:type="spellStart"/>
      <w:r w:rsidRPr="00FB29A3">
        <w:rPr>
          <w:lang w:val="es-MX"/>
        </w:rPr>
        <w:t>United</w:t>
      </w:r>
      <w:proofErr w:type="spellEnd"/>
      <w:r w:rsidRPr="00FB29A3">
        <w:rPr>
          <w:lang w:val="es-MX"/>
        </w:rPr>
        <w:t xml:space="preserve"> </w:t>
      </w:r>
      <w:proofErr w:type="spellStart"/>
      <w:r w:rsidRPr="00FB29A3">
        <w:rPr>
          <w:lang w:val="es-MX"/>
        </w:rPr>
        <w:t>Nations</w:t>
      </w:r>
      <w:proofErr w:type="spellEnd"/>
      <w:r w:rsidRPr="00FB29A3">
        <w:rPr>
          <w:lang w:val="es-MX"/>
        </w:rPr>
        <w:t xml:space="preserve">, </w:t>
      </w:r>
      <w:proofErr w:type="spellStart"/>
      <w:r w:rsidRPr="00FB29A3">
        <w:rPr>
          <w:i/>
          <w:iCs/>
          <w:lang w:val="es-MX"/>
        </w:rPr>
        <w:t>Good</w:t>
      </w:r>
      <w:proofErr w:type="spellEnd"/>
      <w:r w:rsidRPr="00FB29A3">
        <w:rPr>
          <w:i/>
          <w:iCs/>
          <w:lang w:val="es-MX"/>
        </w:rPr>
        <w:t xml:space="preserve"> </w:t>
      </w:r>
      <w:proofErr w:type="spellStart"/>
      <w:r w:rsidRPr="00FB29A3">
        <w:rPr>
          <w:i/>
          <w:iCs/>
          <w:lang w:val="es-MX"/>
        </w:rPr>
        <w:t>practices</w:t>
      </w:r>
      <w:proofErr w:type="spellEnd"/>
      <w:r w:rsidRPr="00FB29A3">
        <w:rPr>
          <w:i/>
          <w:iCs/>
          <w:lang w:val="es-MX"/>
        </w:rPr>
        <w:t xml:space="preserve"> in </w:t>
      </w:r>
      <w:proofErr w:type="spellStart"/>
      <w:r w:rsidRPr="00FB29A3">
        <w:rPr>
          <w:i/>
          <w:iCs/>
          <w:lang w:val="es-MX"/>
        </w:rPr>
        <w:t>legislation</w:t>
      </w:r>
      <w:proofErr w:type="spellEnd"/>
      <w:r w:rsidRPr="00FB29A3">
        <w:rPr>
          <w:i/>
          <w:iCs/>
          <w:lang w:val="es-MX"/>
        </w:rPr>
        <w:t xml:space="preserve"> </w:t>
      </w:r>
      <w:proofErr w:type="spellStart"/>
      <w:r w:rsidRPr="00FB29A3">
        <w:rPr>
          <w:i/>
          <w:iCs/>
          <w:lang w:val="es-MX"/>
        </w:rPr>
        <w:t>on</w:t>
      </w:r>
      <w:proofErr w:type="spellEnd"/>
      <w:r>
        <w:rPr>
          <w:i/>
          <w:iCs/>
          <w:lang w:val="es-MX"/>
        </w:rPr>
        <w:t xml:space="preserve"> </w:t>
      </w:r>
      <w:proofErr w:type="spellStart"/>
      <w:r>
        <w:rPr>
          <w:i/>
          <w:iCs/>
          <w:lang w:val="es-MX"/>
        </w:rPr>
        <w:t>Harmful</w:t>
      </w:r>
      <w:proofErr w:type="spellEnd"/>
      <w:r>
        <w:rPr>
          <w:i/>
          <w:iCs/>
          <w:lang w:val="es-MX"/>
        </w:rPr>
        <w:t xml:space="preserve"> </w:t>
      </w:r>
      <w:proofErr w:type="spellStart"/>
      <w:r>
        <w:rPr>
          <w:i/>
          <w:iCs/>
          <w:lang w:val="es-MX"/>
        </w:rPr>
        <w:t>practices</w:t>
      </w:r>
      <w:proofErr w:type="spellEnd"/>
      <w:r>
        <w:rPr>
          <w:i/>
          <w:iCs/>
          <w:lang w:val="es-MX"/>
        </w:rPr>
        <w:t xml:space="preserve"> </w:t>
      </w:r>
      <w:proofErr w:type="spellStart"/>
      <w:r>
        <w:rPr>
          <w:i/>
          <w:iCs/>
          <w:lang w:val="es-MX"/>
        </w:rPr>
        <w:t>aginst</w:t>
      </w:r>
      <w:proofErr w:type="spellEnd"/>
      <w:r>
        <w:rPr>
          <w:i/>
          <w:iCs/>
          <w:lang w:val="es-MX"/>
        </w:rPr>
        <w:t xml:space="preserve"> </w:t>
      </w:r>
      <w:proofErr w:type="spellStart"/>
      <w:r>
        <w:rPr>
          <w:i/>
          <w:iCs/>
          <w:lang w:val="es-MX"/>
        </w:rPr>
        <w:t>women</w:t>
      </w:r>
      <w:proofErr w:type="spellEnd"/>
      <w:r>
        <w:rPr>
          <w:i/>
          <w:iCs/>
          <w:lang w:val="es-MX"/>
        </w:rPr>
        <w:t xml:space="preserve"> </w:t>
      </w:r>
    </w:p>
  </w:footnote>
  <w:footnote w:id="7">
    <w:p w14:paraId="28770D3E" w14:textId="5BE113A8" w:rsidR="005E6710" w:rsidRPr="005E6710" w:rsidRDefault="005E6710">
      <w:pPr>
        <w:pStyle w:val="Textonotapie"/>
        <w:rPr>
          <w:lang w:val="es-MX"/>
        </w:rPr>
      </w:pPr>
      <w:r>
        <w:rPr>
          <w:rStyle w:val="Refdenotaalpie"/>
        </w:rPr>
        <w:footnoteRef/>
      </w:r>
      <w:r>
        <w:t xml:space="preserve"> </w:t>
      </w:r>
      <w:r w:rsidRPr="005E6710">
        <w:rPr>
          <w:lang w:val="es-MX"/>
        </w:rPr>
        <w:t xml:space="preserve">Diario Oficial de la Federación, Ley General de Acceso de las Mujeres a una Vida Libre de Violencia, </w:t>
      </w:r>
      <w:hyperlink r:id="rId6" w:history="1">
        <w:r w:rsidRPr="00695FE4">
          <w:rPr>
            <w:rStyle w:val="Hipervnculo"/>
            <w:lang w:val="es-MX"/>
          </w:rPr>
          <w:t>https://portalhcd.diputados.gob.mx/LeyesBiblio/PortalWeb/Leyes/Vigentes/PDF/LGAMVLV_010621.pdf</w:t>
        </w:r>
      </w:hyperlink>
      <w:r>
        <w:rPr>
          <w:lang w:val="es-MX"/>
        </w:rPr>
        <w:t xml:space="preserve"> </w:t>
      </w:r>
    </w:p>
  </w:footnote>
  <w:footnote w:id="8">
    <w:p w14:paraId="15949EBB" w14:textId="6CF4FDC6" w:rsidR="005E6710" w:rsidRPr="005E6710" w:rsidRDefault="005E6710">
      <w:pPr>
        <w:pStyle w:val="Textonotapie"/>
        <w:rPr>
          <w:lang w:val="es-MX"/>
        </w:rPr>
      </w:pPr>
      <w:r>
        <w:rPr>
          <w:rStyle w:val="Refdenotaalpie"/>
        </w:rPr>
        <w:footnoteRef/>
      </w:r>
      <w:r>
        <w:t xml:space="preserve"> </w:t>
      </w:r>
      <w:r w:rsidRPr="005E6710">
        <w:rPr>
          <w:lang w:val="es-MX"/>
        </w:rPr>
        <w:t xml:space="preserve">CEDIP, </w:t>
      </w:r>
      <w:r w:rsidRPr="005E6710">
        <w:rPr>
          <w:i/>
          <w:iCs/>
          <w:lang w:val="es-MX"/>
        </w:rPr>
        <w:t xml:space="preserve">Opinión técnico-jurídica, </w:t>
      </w:r>
      <w:r w:rsidRPr="005E6710">
        <w:rPr>
          <w:lang w:val="es-MX"/>
        </w:rPr>
        <w:t xml:space="preserve">México, Cámara de Diputados, 2022  </w:t>
      </w:r>
    </w:p>
  </w:footnote>
  <w:footnote w:id="9">
    <w:p w14:paraId="797C9420" w14:textId="60053095" w:rsidR="005E6710" w:rsidRPr="005E6710" w:rsidRDefault="005E6710">
      <w:pPr>
        <w:pStyle w:val="Textonotapie"/>
        <w:rPr>
          <w:lang w:val="es-MX"/>
        </w:rPr>
      </w:pPr>
      <w:r>
        <w:rPr>
          <w:rStyle w:val="Refdenotaalpie"/>
        </w:rPr>
        <w:footnoteRef/>
      </w:r>
      <w:r>
        <w:t xml:space="preserve"> </w:t>
      </w:r>
      <w:r w:rsidRPr="005E6710">
        <w:rPr>
          <w:lang w:val="es-MX"/>
        </w:rPr>
        <w:t xml:space="preserve">Acción de inconstitucionalidad 97/2019, Pleno de la Suprema Corte de Justicia de la Nación, 08 de junio de 2020, </w:t>
      </w:r>
      <w:hyperlink r:id="rId7" w:history="1">
        <w:r w:rsidRPr="005E6710">
          <w:rPr>
            <w:rStyle w:val="Hipervnculo"/>
            <w:lang w:val="es-MX"/>
          </w:rPr>
          <w:t>Secretaría General de Acuerdos | Sentencias y Datos de Expedientes | Suprema Corte de Justicia de la Nación (scjn.gob.mx)</w:t>
        </w:r>
      </w:hyperlink>
      <w:r>
        <w:rPr>
          <w:lang w:val="es-MX"/>
        </w:rPr>
        <w:t xml:space="preserve"> </w:t>
      </w:r>
    </w:p>
  </w:footnote>
  <w:footnote w:id="10">
    <w:p w14:paraId="115365C5" w14:textId="50E6A92D" w:rsidR="005E6710" w:rsidRPr="005E6710" w:rsidRDefault="005E6710">
      <w:pPr>
        <w:pStyle w:val="Textonotapie"/>
        <w:rPr>
          <w:lang w:val="es-MX"/>
        </w:rPr>
      </w:pPr>
      <w:r>
        <w:rPr>
          <w:rStyle w:val="Refdenotaalpie"/>
        </w:rPr>
        <w:footnoteRef/>
      </w:r>
      <w:r>
        <w:t xml:space="preserve"> </w:t>
      </w:r>
      <w:r w:rsidRPr="005E6710">
        <w:rPr>
          <w:lang w:val="es-MX"/>
        </w:rPr>
        <w:t>Tesis [J]: 1a</w:t>
      </w:r>
      <w:proofErr w:type="gramStart"/>
      <w:r w:rsidRPr="005E6710">
        <w:rPr>
          <w:lang w:val="es-MX"/>
        </w:rPr>
        <w:t>./</w:t>
      </w:r>
      <w:proofErr w:type="gramEnd"/>
      <w:r w:rsidRPr="005E6710">
        <w:rPr>
          <w:lang w:val="es-MX"/>
        </w:rPr>
        <w:t xml:space="preserve">J. 114/2010, </w:t>
      </w:r>
      <w:r w:rsidRPr="005E6710">
        <w:rPr>
          <w:i/>
          <w:iCs/>
          <w:lang w:val="es-MX"/>
        </w:rPr>
        <w:t>Semanario judicial de la Federación y su Gaceta</w:t>
      </w:r>
      <w:r w:rsidRPr="005E6710">
        <w:rPr>
          <w:lang w:val="es-MX"/>
        </w:rPr>
        <w:t xml:space="preserve">, Novena Época, Tomo XXXIII, enero de 2011, p. 340. Reg. Digital 163067. </w:t>
      </w:r>
      <w:hyperlink r:id="rId8" w:history="1">
        <w:r w:rsidRPr="00695FE4">
          <w:rPr>
            <w:rStyle w:val="Hipervnculo"/>
            <w:lang w:val="es-MX"/>
          </w:rPr>
          <w:t>https://sjf2.scjn.gob.mx/detalle/tesis/163067</w:t>
        </w:r>
      </w:hyperlink>
      <w:r>
        <w:rPr>
          <w:lang w:val="es-MX"/>
        </w:rPr>
        <w:t xml:space="preserve"> </w:t>
      </w:r>
    </w:p>
  </w:footnote>
  <w:footnote w:id="11">
    <w:p w14:paraId="4052B345" w14:textId="7740FB1D" w:rsidR="005E6710" w:rsidRPr="005E6710" w:rsidRDefault="005E6710">
      <w:pPr>
        <w:pStyle w:val="Textonotapie"/>
        <w:rPr>
          <w:lang w:val="es-MX"/>
        </w:rPr>
      </w:pPr>
      <w:r>
        <w:rPr>
          <w:rStyle w:val="Refdenotaalpie"/>
        </w:rPr>
        <w:footnoteRef/>
      </w:r>
      <w:r>
        <w:t xml:space="preserve"> </w:t>
      </w:r>
      <w:r w:rsidRPr="005E6710">
        <w:rPr>
          <w:lang w:val="es-MX"/>
        </w:rPr>
        <w:t xml:space="preserve">Diario Oficial de la Federación, </w:t>
      </w:r>
      <w:r w:rsidRPr="005E6710">
        <w:rPr>
          <w:i/>
          <w:iCs/>
          <w:lang w:val="es-MX"/>
        </w:rPr>
        <w:t xml:space="preserve">Acuerdo por el que se reforman y adicionan diversas disposiciones del Instituto número 9 relativo a las condiciones de seguridad e higiene para el almacenamiento, transporte y manejo de sustancias corrosivas, irritantes y tóxicas en los centros de trabajo, </w:t>
      </w:r>
      <w:hyperlink r:id="rId9" w:history="1">
        <w:r w:rsidRPr="00695FE4">
          <w:rPr>
            <w:rStyle w:val="Hipervnculo"/>
            <w:lang w:val="es-MX"/>
          </w:rPr>
          <w:t>http://www.dof.gob.mx/nota_detalle.php?codigo=4815848&amp;fecha=29/05/1989</w:t>
        </w:r>
      </w:hyperlink>
      <w:r>
        <w:rPr>
          <w:lang w:val="es-MX"/>
        </w:rPr>
        <w:t xml:space="preserve"> </w:t>
      </w:r>
    </w:p>
  </w:footnote>
  <w:footnote w:id="12">
    <w:p w14:paraId="1D0FFDA7" w14:textId="55B038B5" w:rsidR="005E6710" w:rsidRPr="005E6710" w:rsidRDefault="005E6710">
      <w:pPr>
        <w:pStyle w:val="Textonotapie"/>
        <w:rPr>
          <w:lang w:val="es-MX"/>
        </w:rPr>
      </w:pPr>
      <w:r>
        <w:rPr>
          <w:rStyle w:val="Refdenotaalpie"/>
        </w:rPr>
        <w:footnoteRef/>
      </w:r>
      <w:r>
        <w:t xml:space="preserve"> </w:t>
      </w:r>
      <w:r w:rsidRPr="005E6710">
        <w:rPr>
          <w:lang w:val="es-MX"/>
        </w:rPr>
        <w:t>Tesis aislada 1a. LXXIX/2015 (10a.), registro de IUS 2008545, publicada en la Gaceta del Semanario Judicial de la Federación, Décima Época, Libro 15, febrer</w:t>
      </w:r>
      <w:r>
        <w:rPr>
          <w:lang w:val="es-MX"/>
        </w:rPr>
        <w:t xml:space="preserve">o de 2015, Tomo II, página 1397 </w:t>
      </w:r>
    </w:p>
  </w:footnote>
  <w:footnote w:id="13">
    <w:p w14:paraId="2DFC1883" w14:textId="0D3B8378" w:rsidR="005E6710" w:rsidRPr="005E6710" w:rsidRDefault="005E6710" w:rsidP="005E6710">
      <w:pPr>
        <w:pStyle w:val="Textonotapie"/>
        <w:rPr>
          <w:lang w:val="es-MX"/>
        </w:rPr>
      </w:pPr>
      <w:r>
        <w:rPr>
          <w:rStyle w:val="Refdenotaalpie"/>
        </w:rPr>
        <w:footnoteRef/>
      </w:r>
      <w:r>
        <w:t xml:space="preserve"> </w:t>
      </w:r>
      <w:hyperlink r:id="rId10" w:history="1">
        <w:r w:rsidRPr="00695FE4">
          <w:rPr>
            <w:rStyle w:val="Hipervnculo"/>
            <w:lang w:val="es-MX"/>
          </w:rPr>
          <w:t>https://www.conapred.org.mx/index.php?contenido=noticias&amp;id=2568&amp;id_opcion=&amp;op=447</w:t>
        </w:r>
      </w:hyperlink>
      <w:r>
        <w:rPr>
          <w:lang w:val="es-MX"/>
        </w:rPr>
        <w:t xml:space="preserve"> </w:t>
      </w:r>
    </w:p>
  </w:footnote>
  <w:footnote w:id="14">
    <w:p w14:paraId="0E31D834" w14:textId="334C0613" w:rsidR="005E6710" w:rsidRPr="005E6710" w:rsidRDefault="005E6710">
      <w:pPr>
        <w:pStyle w:val="Textonotapie"/>
        <w:rPr>
          <w:lang w:val="es-MX"/>
        </w:rPr>
      </w:pPr>
      <w:r>
        <w:rPr>
          <w:rStyle w:val="Refdenotaalpie"/>
        </w:rPr>
        <w:footnoteRef/>
      </w:r>
      <w:r>
        <w:t xml:space="preserve"> </w:t>
      </w:r>
      <w:hyperlink r:id="rId11" w:history="1">
        <w:r w:rsidRPr="00695FE4">
          <w:rPr>
            <w:rStyle w:val="Hipervnculo"/>
            <w:lang w:val="es-MX"/>
          </w:rPr>
          <w:t>https://www.corteidh.or.cr/tablas/r37850.pdf</w:t>
        </w:r>
      </w:hyperlink>
      <w:r>
        <w:rPr>
          <w:lang w:val="es-MX"/>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12EAA" w14:textId="77777777" w:rsidR="0018204C" w:rsidRPr="006B71DC" w:rsidRDefault="0018204C">
    <w:pPr>
      <w:rPr>
        <w:sz w:val="18"/>
      </w:rPr>
    </w:pPr>
    <w:r>
      <w:rPr>
        <w:noProof/>
        <w:lang w:eastAsia="es-MX"/>
      </w:rPr>
      <w:drawing>
        <wp:anchor distT="0" distB="0" distL="114300" distR="114300" simplePos="0" relativeHeight="251658240" behindDoc="0" locked="0" layoutInCell="1" allowOverlap="1" wp14:anchorId="05888211" wp14:editId="60F282DE">
          <wp:simplePos x="0" y="0"/>
          <wp:positionH relativeFrom="margin">
            <wp:posOffset>4928870</wp:posOffset>
          </wp:positionH>
          <wp:positionV relativeFrom="paragraph">
            <wp:posOffset>11430</wp:posOffset>
          </wp:positionV>
          <wp:extent cx="1162050" cy="1162050"/>
          <wp:effectExtent l="0" t="0" r="0" b="0"/>
          <wp:wrapSquare wrapText="bothSides"/>
          <wp:docPr id="8" name="Imagen 8" descr="Archivo:PAN logo (Mexic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o:PAN logo (Mexico).sv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18"/>
        </w:rPr>
        <w:id w:val="232969844"/>
        <w:docPartObj>
          <w:docPartGallery w:val="Page Numbers (Margins)"/>
          <w:docPartUnique/>
        </w:docPartObj>
      </w:sdtPr>
      <w:sdtEndPr/>
      <w:sdtContent>
        <w:r w:rsidRPr="00B50033">
          <w:rPr>
            <w:noProof/>
            <w:sz w:val="18"/>
            <w:lang w:eastAsia="es-MX"/>
          </w:rPr>
          <mc:AlternateContent>
            <mc:Choice Requires="wps">
              <w:drawing>
                <wp:anchor distT="0" distB="0" distL="114300" distR="114300" simplePos="0" relativeHeight="251660288" behindDoc="0" locked="0" layoutInCell="0" allowOverlap="1" wp14:anchorId="52935D6F" wp14:editId="7A743C8B">
                  <wp:simplePos x="0" y="0"/>
                  <wp:positionH relativeFrom="rightMargin">
                    <wp:align>right</wp:align>
                  </wp:positionH>
                  <mc:AlternateContent>
                    <mc:Choice Requires="wp14">
                      <wp:positionV relativeFrom="margin">
                        <wp14:pctPosVOffset>10000</wp14:pctPosVOffset>
                      </wp:positionV>
                    </mc:Choice>
                    <mc:Fallback>
                      <wp:positionV relativeFrom="page">
                        <wp:posOffset>2437130</wp:posOffset>
                      </wp:positionV>
                    </mc:Fallback>
                  </mc:AlternateContent>
                  <wp:extent cx="822960" cy="433705"/>
                  <wp:effectExtent l="0" t="0" r="0" b="0"/>
                  <wp:wrapNone/>
                  <wp:docPr id="53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ED43DFA" w14:textId="77777777" w:rsidR="0018204C" w:rsidRPr="00B50033" w:rsidRDefault="0018204C">
                              <w:pPr>
                                <w:pBdr>
                                  <w:top w:val="single" w:sz="4" w:space="1" w:color="D8D8D8" w:themeColor="background1" w:themeShade="D8"/>
                                </w:pBdr>
                                <w:rPr>
                                  <w:rFonts w:ascii="Century Gothic" w:hAnsi="Century Gothic"/>
                                  <w:sz w:val="18"/>
                                </w:rPr>
                              </w:pPr>
                              <w:r w:rsidRPr="00B50033">
                                <w:rPr>
                                  <w:rFonts w:ascii="Century Gothic" w:hAnsi="Century Gothic"/>
                                  <w:sz w:val="18"/>
                                  <w:lang w:val="es-ES"/>
                                </w:rPr>
                                <w:t xml:space="preserve">Página | </w:t>
                              </w:r>
                              <w:r w:rsidRPr="00B50033">
                                <w:rPr>
                                  <w:rFonts w:ascii="Century Gothic" w:hAnsi="Century Gothic"/>
                                  <w:sz w:val="18"/>
                                </w:rPr>
                                <w:fldChar w:fldCharType="begin"/>
                              </w:r>
                              <w:r w:rsidRPr="00B50033">
                                <w:rPr>
                                  <w:rFonts w:ascii="Century Gothic" w:hAnsi="Century Gothic"/>
                                  <w:sz w:val="18"/>
                                </w:rPr>
                                <w:instrText>PAGE   \* MERGEFORMAT</w:instrText>
                              </w:r>
                              <w:r w:rsidRPr="00B50033">
                                <w:rPr>
                                  <w:rFonts w:ascii="Century Gothic" w:hAnsi="Century Gothic"/>
                                  <w:sz w:val="18"/>
                                </w:rPr>
                                <w:fldChar w:fldCharType="separate"/>
                              </w:r>
                              <w:r w:rsidR="003412AC" w:rsidRPr="003412AC">
                                <w:rPr>
                                  <w:rFonts w:ascii="Century Gothic" w:hAnsi="Century Gothic"/>
                                  <w:noProof/>
                                  <w:sz w:val="18"/>
                                  <w:lang w:val="es-ES"/>
                                </w:rPr>
                                <w:t>11</w:t>
                              </w:r>
                              <w:r w:rsidRPr="00B50033">
                                <w:rPr>
                                  <w:rFonts w:ascii="Century Gothic" w:hAnsi="Century Gothic"/>
                                  <w:sz w:val="18"/>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52935D6F" id="Rectángulo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" o:allowincell="f" stroked="f">
                  <v:textbox style="mso-fit-shape-to-text:t" inset="0,,0">
                    <w:txbxContent>
                      <w:p w14:paraId="0ED43DFA" w14:textId="77777777" w:rsidR="0018204C" w:rsidRPr="00B50033" w:rsidRDefault="0018204C">
                        <w:pPr>
                          <w:pBdr>
                            <w:top w:val="single" w:sz="4" w:space="1" w:color="D8D8D8" w:themeColor="background1" w:themeShade="D8"/>
                          </w:pBdr>
                          <w:rPr>
                            <w:rFonts w:ascii="Century Gothic" w:hAnsi="Century Gothic"/>
                            <w:sz w:val="18"/>
                          </w:rPr>
                        </w:pPr>
                        <w:r w:rsidRPr="00B50033">
                          <w:rPr>
                            <w:rFonts w:ascii="Century Gothic" w:hAnsi="Century Gothic"/>
                            <w:sz w:val="18"/>
                            <w:lang w:val="es-ES"/>
                          </w:rPr>
                          <w:t xml:space="preserve">Página | </w:t>
                        </w:r>
                        <w:r w:rsidRPr="00B50033">
                          <w:rPr>
                            <w:rFonts w:ascii="Century Gothic" w:hAnsi="Century Gothic"/>
                            <w:sz w:val="18"/>
                          </w:rPr>
                          <w:fldChar w:fldCharType="begin"/>
                        </w:r>
                        <w:r w:rsidRPr="00B50033">
                          <w:rPr>
                            <w:rFonts w:ascii="Century Gothic" w:hAnsi="Century Gothic"/>
                            <w:sz w:val="18"/>
                          </w:rPr>
                          <w:instrText>PAGE   \* MERGEFORMAT</w:instrText>
                        </w:r>
                        <w:r w:rsidRPr="00B50033">
                          <w:rPr>
                            <w:rFonts w:ascii="Century Gothic" w:hAnsi="Century Gothic"/>
                            <w:sz w:val="18"/>
                          </w:rPr>
                          <w:fldChar w:fldCharType="separate"/>
                        </w:r>
                        <w:r w:rsidR="003412AC" w:rsidRPr="003412AC">
                          <w:rPr>
                            <w:rFonts w:ascii="Century Gothic" w:hAnsi="Century Gothic"/>
                            <w:noProof/>
                            <w:sz w:val="18"/>
                            <w:lang w:val="es-ES"/>
                          </w:rPr>
                          <w:t>11</w:t>
                        </w:r>
                        <w:r w:rsidRPr="00B50033">
                          <w:rPr>
                            <w:rFonts w:ascii="Century Gothic" w:hAnsi="Century Gothic"/>
                            <w:sz w:val="18"/>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303B0"/>
    <w:multiLevelType w:val="hybridMultilevel"/>
    <w:tmpl w:val="0D106D12"/>
    <w:lvl w:ilvl="0" w:tplc="ACD01FAA">
      <w:start w:val="1"/>
      <w:numFmt w:val="decimal"/>
      <w:lvlText w:val="%1."/>
      <w:lvlJc w:val="left"/>
      <w:pPr>
        <w:ind w:left="1125" w:hanging="40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1943642B"/>
    <w:multiLevelType w:val="hybridMultilevel"/>
    <w:tmpl w:val="BFDCF8F4"/>
    <w:lvl w:ilvl="0" w:tplc="AC98EE52">
      <w:start w:val="1"/>
      <w:numFmt w:val="decimal"/>
      <w:lvlText w:val="%1."/>
      <w:lvlJc w:val="left"/>
      <w:pPr>
        <w:ind w:left="720" w:hanging="360"/>
      </w:pPr>
      <w:rPr>
        <w:rFonts w:asciiTheme="minorHAnsi" w:hAnsiTheme="minorHAnsi"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7471A59"/>
    <w:multiLevelType w:val="hybridMultilevel"/>
    <w:tmpl w:val="B388DAE4"/>
    <w:lvl w:ilvl="0" w:tplc="A8AC58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E0F335B"/>
    <w:multiLevelType w:val="hybridMultilevel"/>
    <w:tmpl w:val="1856E352"/>
    <w:lvl w:ilvl="0" w:tplc="8B9C50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3575D01"/>
    <w:multiLevelType w:val="hybridMultilevel"/>
    <w:tmpl w:val="74E6411C"/>
    <w:lvl w:ilvl="0" w:tplc="080A0013">
      <w:start w:val="1"/>
      <w:numFmt w:val="upperRoman"/>
      <w:lvlText w:val="%1."/>
      <w:lvlJc w:val="right"/>
      <w:pPr>
        <w:ind w:left="2850" w:hanging="360"/>
      </w:pPr>
    </w:lvl>
    <w:lvl w:ilvl="1" w:tplc="080A0019" w:tentative="1">
      <w:start w:val="1"/>
      <w:numFmt w:val="lowerLetter"/>
      <w:lvlText w:val="%2."/>
      <w:lvlJc w:val="left"/>
      <w:pPr>
        <w:ind w:left="3570" w:hanging="360"/>
      </w:pPr>
    </w:lvl>
    <w:lvl w:ilvl="2" w:tplc="080A001B" w:tentative="1">
      <w:start w:val="1"/>
      <w:numFmt w:val="lowerRoman"/>
      <w:lvlText w:val="%3."/>
      <w:lvlJc w:val="right"/>
      <w:pPr>
        <w:ind w:left="4290" w:hanging="180"/>
      </w:pPr>
    </w:lvl>
    <w:lvl w:ilvl="3" w:tplc="080A000F" w:tentative="1">
      <w:start w:val="1"/>
      <w:numFmt w:val="decimal"/>
      <w:lvlText w:val="%4."/>
      <w:lvlJc w:val="left"/>
      <w:pPr>
        <w:ind w:left="5010" w:hanging="360"/>
      </w:pPr>
    </w:lvl>
    <w:lvl w:ilvl="4" w:tplc="080A0019" w:tentative="1">
      <w:start w:val="1"/>
      <w:numFmt w:val="lowerLetter"/>
      <w:lvlText w:val="%5."/>
      <w:lvlJc w:val="left"/>
      <w:pPr>
        <w:ind w:left="5730" w:hanging="360"/>
      </w:pPr>
    </w:lvl>
    <w:lvl w:ilvl="5" w:tplc="080A001B" w:tentative="1">
      <w:start w:val="1"/>
      <w:numFmt w:val="lowerRoman"/>
      <w:lvlText w:val="%6."/>
      <w:lvlJc w:val="right"/>
      <w:pPr>
        <w:ind w:left="6450" w:hanging="180"/>
      </w:pPr>
    </w:lvl>
    <w:lvl w:ilvl="6" w:tplc="080A000F" w:tentative="1">
      <w:start w:val="1"/>
      <w:numFmt w:val="decimal"/>
      <w:lvlText w:val="%7."/>
      <w:lvlJc w:val="left"/>
      <w:pPr>
        <w:ind w:left="7170" w:hanging="360"/>
      </w:pPr>
    </w:lvl>
    <w:lvl w:ilvl="7" w:tplc="080A0019" w:tentative="1">
      <w:start w:val="1"/>
      <w:numFmt w:val="lowerLetter"/>
      <w:lvlText w:val="%8."/>
      <w:lvlJc w:val="left"/>
      <w:pPr>
        <w:ind w:left="7890" w:hanging="360"/>
      </w:pPr>
    </w:lvl>
    <w:lvl w:ilvl="8" w:tplc="080A001B" w:tentative="1">
      <w:start w:val="1"/>
      <w:numFmt w:val="lowerRoman"/>
      <w:lvlText w:val="%9."/>
      <w:lvlJc w:val="right"/>
      <w:pPr>
        <w:ind w:left="8610" w:hanging="180"/>
      </w:pPr>
    </w:lvl>
  </w:abstractNum>
  <w:abstractNum w:abstractNumId="5">
    <w:nsid w:val="4F720990"/>
    <w:multiLevelType w:val="hybridMultilevel"/>
    <w:tmpl w:val="FD8C67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6576997"/>
    <w:multiLevelType w:val="hybridMultilevel"/>
    <w:tmpl w:val="1A7EC83E"/>
    <w:lvl w:ilvl="0" w:tplc="6A32711E">
      <w:start w:val="1"/>
      <w:numFmt w:val="lowerLetter"/>
      <w:lvlText w:val="%1)"/>
      <w:lvlJc w:val="left"/>
      <w:pPr>
        <w:ind w:left="785" w:hanging="360"/>
      </w:pPr>
      <w:rPr>
        <w:rFonts w:hint="default"/>
        <w:b/>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num w:numId="1">
    <w:abstractNumId w:val="6"/>
  </w:num>
  <w:num w:numId="2">
    <w:abstractNumId w:val="1"/>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B"/>
    <w:rsid w:val="00013A5A"/>
    <w:rsid w:val="000445DC"/>
    <w:rsid w:val="00062555"/>
    <w:rsid w:val="000664D7"/>
    <w:rsid w:val="000700EE"/>
    <w:rsid w:val="00076F68"/>
    <w:rsid w:val="00082C86"/>
    <w:rsid w:val="00087DFD"/>
    <w:rsid w:val="00092C80"/>
    <w:rsid w:val="000B6318"/>
    <w:rsid w:val="000C6BBD"/>
    <w:rsid w:val="000F1ABB"/>
    <w:rsid w:val="00100BC0"/>
    <w:rsid w:val="001039D9"/>
    <w:rsid w:val="001049BC"/>
    <w:rsid w:val="00107126"/>
    <w:rsid w:val="00121BC5"/>
    <w:rsid w:val="001271AC"/>
    <w:rsid w:val="001350B5"/>
    <w:rsid w:val="0014377B"/>
    <w:rsid w:val="00145C30"/>
    <w:rsid w:val="00157B7A"/>
    <w:rsid w:val="0017020B"/>
    <w:rsid w:val="001776C5"/>
    <w:rsid w:val="0018204C"/>
    <w:rsid w:val="00187FFE"/>
    <w:rsid w:val="001912D5"/>
    <w:rsid w:val="001A27F6"/>
    <w:rsid w:val="001A3CDC"/>
    <w:rsid w:val="001E1F1A"/>
    <w:rsid w:val="001F672C"/>
    <w:rsid w:val="002021C5"/>
    <w:rsid w:val="00210C36"/>
    <w:rsid w:val="0027798E"/>
    <w:rsid w:val="002951A3"/>
    <w:rsid w:val="002A16F1"/>
    <w:rsid w:val="002B640A"/>
    <w:rsid w:val="00314F12"/>
    <w:rsid w:val="003412AC"/>
    <w:rsid w:val="003434DF"/>
    <w:rsid w:val="00352397"/>
    <w:rsid w:val="00360B44"/>
    <w:rsid w:val="00392D0F"/>
    <w:rsid w:val="003C245B"/>
    <w:rsid w:val="003D6EB1"/>
    <w:rsid w:val="003E0CAF"/>
    <w:rsid w:val="004000E8"/>
    <w:rsid w:val="00416BAA"/>
    <w:rsid w:val="00420CAF"/>
    <w:rsid w:val="00423783"/>
    <w:rsid w:val="00443CE8"/>
    <w:rsid w:val="00450330"/>
    <w:rsid w:val="00450E1D"/>
    <w:rsid w:val="0045447D"/>
    <w:rsid w:val="00466B30"/>
    <w:rsid w:val="00466E8E"/>
    <w:rsid w:val="004746A7"/>
    <w:rsid w:val="004814CB"/>
    <w:rsid w:val="004842AA"/>
    <w:rsid w:val="00493A39"/>
    <w:rsid w:val="004A5127"/>
    <w:rsid w:val="004C2733"/>
    <w:rsid w:val="004D3753"/>
    <w:rsid w:val="004E03BD"/>
    <w:rsid w:val="00516AFB"/>
    <w:rsid w:val="00524C77"/>
    <w:rsid w:val="00524DF2"/>
    <w:rsid w:val="00531142"/>
    <w:rsid w:val="005349E6"/>
    <w:rsid w:val="005362BC"/>
    <w:rsid w:val="005626EB"/>
    <w:rsid w:val="005649FB"/>
    <w:rsid w:val="00566C23"/>
    <w:rsid w:val="005902D6"/>
    <w:rsid w:val="005B5A66"/>
    <w:rsid w:val="005C03A5"/>
    <w:rsid w:val="005E6710"/>
    <w:rsid w:val="00607F42"/>
    <w:rsid w:val="00630F4F"/>
    <w:rsid w:val="00632303"/>
    <w:rsid w:val="00671671"/>
    <w:rsid w:val="00671697"/>
    <w:rsid w:val="00695AAE"/>
    <w:rsid w:val="006A0096"/>
    <w:rsid w:val="006A1F51"/>
    <w:rsid w:val="006B4EC0"/>
    <w:rsid w:val="006C17F2"/>
    <w:rsid w:val="006C3085"/>
    <w:rsid w:val="006D2873"/>
    <w:rsid w:val="006E606D"/>
    <w:rsid w:val="006F342B"/>
    <w:rsid w:val="00763F63"/>
    <w:rsid w:val="0078012A"/>
    <w:rsid w:val="0078126D"/>
    <w:rsid w:val="00791BA9"/>
    <w:rsid w:val="00793868"/>
    <w:rsid w:val="007C0712"/>
    <w:rsid w:val="007D2647"/>
    <w:rsid w:val="007F0C5A"/>
    <w:rsid w:val="007F10D5"/>
    <w:rsid w:val="00801F66"/>
    <w:rsid w:val="0082165F"/>
    <w:rsid w:val="00854340"/>
    <w:rsid w:val="00855F90"/>
    <w:rsid w:val="008604AD"/>
    <w:rsid w:val="00864FBB"/>
    <w:rsid w:val="00870748"/>
    <w:rsid w:val="00872307"/>
    <w:rsid w:val="00890E0A"/>
    <w:rsid w:val="008A3843"/>
    <w:rsid w:val="008B7D96"/>
    <w:rsid w:val="008C7CFC"/>
    <w:rsid w:val="008D12A1"/>
    <w:rsid w:val="008D61FA"/>
    <w:rsid w:val="008D6FF3"/>
    <w:rsid w:val="008E4A2C"/>
    <w:rsid w:val="00913C4E"/>
    <w:rsid w:val="00914545"/>
    <w:rsid w:val="009240EA"/>
    <w:rsid w:val="009335F7"/>
    <w:rsid w:val="0093584A"/>
    <w:rsid w:val="0093672F"/>
    <w:rsid w:val="009450E1"/>
    <w:rsid w:val="0095683D"/>
    <w:rsid w:val="0096272B"/>
    <w:rsid w:val="009740DC"/>
    <w:rsid w:val="009759BA"/>
    <w:rsid w:val="00982024"/>
    <w:rsid w:val="0098658B"/>
    <w:rsid w:val="00987255"/>
    <w:rsid w:val="00987FE7"/>
    <w:rsid w:val="009962A6"/>
    <w:rsid w:val="009C0DB6"/>
    <w:rsid w:val="009F0F82"/>
    <w:rsid w:val="00A10250"/>
    <w:rsid w:val="00A23923"/>
    <w:rsid w:val="00A240B0"/>
    <w:rsid w:val="00A56ABD"/>
    <w:rsid w:val="00A57585"/>
    <w:rsid w:val="00A673FD"/>
    <w:rsid w:val="00A77C84"/>
    <w:rsid w:val="00AB3356"/>
    <w:rsid w:val="00AB4951"/>
    <w:rsid w:val="00AC4EC1"/>
    <w:rsid w:val="00AE1C56"/>
    <w:rsid w:val="00B02802"/>
    <w:rsid w:val="00B04BC5"/>
    <w:rsid w:val="00B0646C"/>
    <w:rsid w:val="00B1779E"/>
    <w:rsid w:val="00B20CE9"/>
    <w:rsid w:val="00B234EE"/>
    <w:rsid w:val="00B34A75"/>
    <w:rsid w:val="00B350D3"/>
    <w:rsid w:val="00B36661"/>
    <w:rsid w:val="00B36EA3"/>
    <w:rsid w:val="00B37018"/>
    <w:rsid w:val="00B50033"/>
    <w:rsid w:val="00B62137"/>
    <w:rsid w:val="00B63D36"/>
    <w:rsid w:val="00B7207B"/>
    <w:rsid w:val="00B7215A"/>
    <w:rsid w:val="00B77BD4"/>
    <w:rsid w:val="00B9058E"/>
    <w:rsid w:val="00BB6245"/>
    <w:rsid w:val="00BC31B0"/>
    <w:rsid w:val="00BC7C0B"/>
    <w:rsid w:val="00BD22A9"/>
    <w:rsid w:val="00BD64D9"/>
    <w:rsid w:val="00BD6BBD"/>
    <w:rsid w:val="00BF7FE0"/>
    <w:rsid w:val="00C00C6F"/>
    <w:rsid w:val="00C05105"/>
    <w:rsid w:val="00C25C9B"/>
    <w:rsid w:val="00C279B8"/>
    <w:rsid w:val="00C36FAF"/>
    <w:rsid w:val="00C444B2"/>
    <w:rsid w:val="00C52AE3"/>
    <w:rsid w:val="00C54F65"/>
    <w:rsid w:val="00C64DA1"/>
    <w:rsid w:val="00C6771C"/>
    <w:rsid w:val="00C81209"/>
    <w:rsid w:val="00C85263"/>
    <w:rsid w:val="00C8788B"/>
    <w:rsid w:val="00C926AD"/>
    <w:rsid w:val="00C97E31"/>
    <w:rsid w:val="00CA61B7"/>
    <w:rsid w:val="00CB5FEA"/>
    <w:rsid w:val="00CB7AB2"/>
    <w:rsid w:val="00CC0437"/>
    <w:rsid w:val="00CD18FE"/>
    <w:rsid w:val="00D01861"/>
    <w:rsid w:val="00D051E2"/>
    <w:rsid w:val="00D17A96"/>
    <w:rsid w:val="00D25E4D"/>
    <w:rsid w:val="00D26E4F"/>
    <w:rsid w:val="00D35465"/>
    <w:rsid w:val="00D518E7"/>
    <w:rsid w:val="00D5387F"/>
    <w:rsid w:val="00D65CE6"/>
    <w:rsid w:val="00D72373"/>
    <w:rsid w:val="00D75D1B"/>
    <w:rsid w:val="00D950CF"/>
    <w:rsid w:val="00DB069B"/>
    <w:rsid w:val="00DB46F3"/>
    <w:rsid w:val="00DB78D3"/>
    <w:rsid w:val="00DD2EAA"/>
    <w:rsid w:val="00DD45D7"/>
    <w:rsid w:val="00DE32D8"/>
    <w:rsid w:val="00DF404A"/>
    <w:rsid w:val="00DF7B2A"/>
    <w:rsid w:val="00E246E1"/>
    <w:rsid w:val="00E333FC"/>
    <w:rsid w:val="00E44928"/>
    <w:rsid w:val="00E55715"/>
    <w:rsid w:val="00E55B9A"/>
    <w:rsid w:val="00E5785B"/>
    <w:rsid w:val="00E7060B"/>
    <w:rsid w:val="00E93618"/>
    <w:rsid w:val="00EA7969"/>
    <w:rsid w:val="00EC6522"/>
    <w:rsid w:val="00EE01EE"/>
    <w:rsid w:val="00EE05E6"/>
    <w:rsid w:val="00EF7FBA"/>
    <w:rsid w:val="00F04916"/>
    <w:rsid w:val="00F4173B"/>
    <w:rsid w:val="00F43B74"/>
    <w:rsid w:val="00F450B0"/>
    <w:rsid w:val="00F5466B"/>
    <w:rsid w:val="00F57C26"/>
    <w:rsid w:val="00F75AA5"/>
    <w:rsid w:val="00F83607"/>
    <w:rsid w:val="00F8509D"/>
    <w:rsid w:val="00F87A54"/>
    <w:rsid w:val="00F95AA0"/>
    <w:rsid w:val="00FA202F"/>
    <w:rsid w:val="00FB29A3"/>
    <w:rsid w:val="00FC6E71"/>
    <w:rsid w:val="00FE0C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D649A"/>
  <w15:docId w15:val="{68D45993-3BEB-FD4A-8233-5E3231DD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1">
    <w:name w:val="1"/>
    <w:basedOn w:val="Tablanormal"/>
    <w:rsid w:val="003C245B"/>
    <w:pPr>
      <w:spacing w:after="0" w:line="240" w:lineRule="auto"/>
    </w:pPr>
    <w:rPr>
      <w:rFonts w:ascii="Calibri" w:eastAsia="Calibri" w:hAnsi="Calibri" w:cs="Calibri"/>
      <w:lang w:eastAsia="es-MX"/>
    </w:rPr>
    <w:tblPr>
      <w:tblStyleRowBandSize w:val="1"/>
      <w:tblStyleColBandSize w:val="1"/>
      <w:tblInd w:w="0" w:type="dxa"/>
      <w:tblCellMar>
        <w:top w:w="0" w:type="dxa"/>
        <w:left w:w="108" w:type="dxa"/>
        <w:bottom w:w="0" w:type="dxa"/>
        <w:right w:w="108" w:type="dxa"/>
      </w:tblCellMar>
    </w:tblPr>
  </w:style>
  <w:style w:type="paragraph" w:styleId="Encabezado">
    <w:name w:val="header"/>
    <w:basedOn w:val="Normal"/>
    <w:link w:val="EncabezadoCar"/>
    <w:uiPriority w:val="99"/>
    <w:unhideWhenUsed/>
    <w:rsid w:val="003C245B"/>
    <w:pPr>
      <w:tabs>
        <w:tab w:val="center" w:pos="4419"/>
        <w:tab w:val="right" w:pos="8838"/>
      </w:tabs>
      <w:spacing w:after="0" w:line="240" w:lineRule="auto"/>
    </w:pPr>
    <w:rPr>
      <w:rFonts w:ascii="Calibri" w:eastAsia="Calibri" w:hAnsi="Calibri" w:cs="Calibri"/>
      <w:lang w:eastAsia="es-MX"/>
    </w:rPr>
  </w:style>
  <w:style w:type="character" w:customStyle="1" w:styleId="EncabezadoCar">
    <w:name w:val="Encabezado Car"/>
    <w:basedOn w:val="Fuentedeprrafopredeter"/>
    <w:link w:val="Encabezado"/>
    <w:uiPriority w:val="99"/>
    <w:rsid w:val="003C245B"/>
    <w:rPr>
      <w:rFonts w:ascii="Calibri" w:eastAsia="Calibri" w:hAnsi="Calibri" w:cs="Calibri"/>
      <w:lang w:eastAsia="es-MX"/>
    </w:rPr>
  </w:style>
  <w:style w:type="paragraph" w:styleId="Piedepgina">
    <w:name w:val="footer"/>
    <w:basedOn w:val="Normal"/>
    <w:link w:val="PiedepginaCar"/>
    <w:uiPriority w:val="99"/>
    <w:unhideWhenUsed/>
    <w:rsid w:val="003C245B"/>
    <w:pPr>
      <w:tabs>
        <w:tab w:val="center" w:pos="4419"/>
        <w:tab w:val="right" w:pos="8838"/>
      </w:tabs>
      <w:spacing w:after="0" w:line="240" w:lineRule="auto"/>
    </w:pPr>
    <w:rPr>
      <w:rFonts w:ascii="Calibri" w:eastAsia="Calibri" w:hAnsi="Calibri" w:cs="Calibri"/>
      <w:lang w:eastAsia="es-MX"/>
    </w:rPr>
  </w:style>
  <w:style w:type="character" w:customStyle="1" w:styleId="PiedepginaCar">
    <w:name w:val="Pie de página Car"/>
    <w:basedOn w:val="Fuentedeprrafopredeter"/>
    <w:link w:val="Piedepgina"/>
    <w:uiPriority w:val="99"/>
    <w:rsid w:val="003C245B"/>
    <w:rPr>
      <w:rFonts w:ascii="Calibri" w:eastAsia="Calibri" w:hAnsi="Calibri" w:cs="Calibri"/>
      <w:lang w:eastAsia="es-MX"/>
    </w:rPr>
  </w:style>
  <w:style w:type="character" w:styleId="Nmerodepgina">
    <w:name w:val="page number"/>
    <w:basedOn w:val="Fuentedeprrafopredeter"/>
    <w:uiPriority w:val="99"/>
    <w:unhideWhenUsed/>
    <w:rsid w:val="000B6318"/>
  </w:style>
  <w:style w:type="paragraph" w:styleId="Prrafodelista">
    <w:name w:val="List Paragraph"/>
    <w:basedOn w:val="Normal"/>
    <w:uiPriority w:val="34"/>
    <w:qFormat/>
    <w:rsid w:val="00BF7FE0"/>
    <w:pPr>
      <w:ind w:left="720"/>
      <w:contextualSpacing/>
    </w:pPr>
  </w:style>
  <w:style w:type="table" w:styleId="Tablaconcuadrcula">
    <w:name w:val="Table Grid"/>
    <w:basedOn w:val="Tablanormal"/>
    <w:uiPriority w:val="39"/>
    <w:rsid w:val="005C03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pervnculo1">
    <w:name w:val="Hipervínculo1"/>
    <w:basedOn w:val="Fuentedeprrafopredeter"/>
    <w:uiPriority w:val="99"/>
    <w:semiHidden/>
    <w:unhideWhenUsed/>
    <w:rsid w:val="0014377B"/>
    <w:rPr>
      <w:color w:val="0563C1"/>
      <w:u w:val="single"/>
    </w:rPr>
  </w:style>
  <w:style w:type="paragraph" w:styleId="Textonotapie">
    <w:name w:val="footnote text"/>
    <w:basedOn w:val="Normal"/>
    <w:link w:val="TextonotapieCar"/>
    <w:uiPriority w:val="99"/>
    <w:semiHidden/>
    <w:unhideWhenUsed/>
    <w:rsid w:val="0014377B"/>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basedOn w:val="Fuentedeprrafopredeter"/>
    <w:link w:val="Textonotapie"/>
    <w:uiPriority w:val="99"/>
    <w:semiHidden/>
    <w:rsid w:val="0014377B"/>
    <w:rPr>
      <w:rFonts w:ascii="Calibri" w:eastAsia="Times New Roman" w:hAnsi="Calibri" w:cs="Times New Roman"/>
      <w:sz w:val="20"/>
      <w:szCs w:val="20"/>
      <w:lang w:val="es-ES" w:eastAsia="es-ES"/>
    </w:rPr>
  </w:style>
  <w:style w:type="character" w:styleId="Refdenotaalpie">
    <w:name w:val="footnote reference"/>
    <w:basedOn w:val="Fuentedeprrafopredeter"/>
    <w:uiPriority w:val="99"/>
    <w:semiHidden/>
    <w:unhideWhenUsed/>
    <w:rsid w:val="0014377B"/>
    <w:rPr>
      <w:vertAlign w:val="superscript"/>
    </w:rPr>
  </w:style>
  <w:style w:type="character" w:styleId="Hipervnculo">
    <w:name w:val="Hyperlink"/>
    <w:basedOn w:val="Fuentedeprrafopredeter"/>
    <w:uiPriority w:val="99"/>
    <w:unhideWhenUsed/>
    <w:rsid w:val="0014377B"/>
    <w:rPr>
      <w:color w:val="0563C1" w:themeColor="hyperlink"/>
      <w:u w:val="single"/>
    </w:rPr>
  </w:style>
  <w:style w:type="paragraph" w:styleId="Textodeglobo">
    <w:name w:val="Balloon Text"/>
    <w:basedOn w:val="Normal"/>
    <w:link w:val="TextodegloboCar"/>
    <w:uiPriority w:val="99"/>
    <w:semiHidden/>
    <w:unhideWhenUsed/>
    <w:rsid w:val="001776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76C5"/>
    <w:rPr>
      <w:rFonts w:ascii="Tahoma" w:hAnsi="Tahoma" w:cs="Tahoma"/>
      <w:sz w:val="16"/>
      <w:szCs w:val="16"/>
    </w:rPr>
  </w:style>
  <w:style w:type="character" w:styleId="Refdecomentario">
    <w:name w:val="annotation reference"/>
    <w:basedOn w:val="Fuentedeprrafopredeter"/>
    <w:uiPriority w:val="99"/>
    <w:semiHidden/>
    <w:unhideWhenUsed/>
    <w:rsid w:val="009335F7"/>
    <w:rPr>
      <w:sz w:val="16"/>
      <w:szCs w:val="16"/>
    </w:rPr>
  </w:style>
  <w:style w:type="paragraph" w:styleId="Textocomentario">
    <w:name w:val="annotation text"/>
    <w:basedOn w:val="Normal"/>
    <w:link w:val="TextocomentarioCar"/>
    <w:uiPriority w:val="99"/>
    <w:semiHidden/>
    <w:unhideWhenUsed/>
    <w:rsid w:val="009335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35F7"/>
    <w:rPr>
      <w:sz w:val="20"/>
      <w:szCs w:val="20"/>
    </w:rPr>
  </w:style>
  <w:style w:type="paragraph" w:styleId="Asuntodelcomentario">
    <w:name w:val="annotation subject"/>
    <w:basedOn w:val="Textocomentario"/>
    <w:next w:val="Textocomentario"/>
    <w:link w:val="AsuntodelcomentarioCar"/>
    <w:uiPriority w:val="99"/>
    <w:semiHidden/>
    <w:unhideWhenUsed/>
    <w:rsid w:val="009335F7"/>
    <w:rPr>
      <w:b/>
      <w:bCs/>
    </w:rPr>
  </w:style>
  <w:style w:type="character" w:customStyle="1" w:styleId="AsuntodelcomentarioCar">
    <w:name w:val="Asunto del comentario Car"/>
    <w:basedOn w:val="TextocomentarioCar"/>
    <w:link w:val="Asuntodelcomentario"/>
    <w:uiPriority w:val="99"/>
    <w:semiHidden/>
    <w:rsid w:val="009335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61572">
      <w:bodyDiv w:val="1"/>
      <w:marLeft w:val="0"/>
      <w:marRight w:val="0"/>
      <w:marTop w:val="0"/>
      <w:marBottom w:val="0"/>
      <w:divBdr>
        <w:top w:val="none" w:sz="0" w:space="0" w:color="auto"/>
        <w:left w:val="none" w:sz="0" w:space="0" w:color="auto"/>
        <w:bottom w:val="none" w:sz="0" w:space="0" w:color="auto"/>
        <w:right w:val="none" w:sz="0" w:space="0" w:color="auto"/>
      </w:divBdr>
    </w:div>
    <w:div w:id="1501655826">
      <w:bodyDiv w:val="1"/>
      <w:marLeft w:val="0"/>
      <w:marRight w:val="0"/>
      <w:marTop w:val="0"/>
      <w:marBottom w:val="0"/>
      <w:divBdr>
        <w:top w:val="none" w:sz="0" w:space="0" w:color="auto"/>
        <w:left w:val="none" w:sz="0" w:space="0" w:color="auto"/>
        <w:bottom w:val="none" w:sz="0" w:space="0" w:color="auto"/>
        <w:right w:val="none" w:sz="0" w:space="0" w:color="auto"/>
      </w:divBdr>
      <w:divsChild>
        <w:div w:id="1151287023">
          <w:marLeft w:val="0"/>
          <w:marRight w:val="0"/>
          <w:marTop w:val="0"/>
          <w:marBottom w:val="101"/>
          <w:divBdr>
            <w:top w:val="none" w:sz="0" w:space="0" w:color="auto"/>
            <w:left w:val="none" w:sz="0" w:space="0" w:color="auto"/>
            <w:bottom w:val="none" w:sz="0" w:space="0" w:color="auto"/>
            <w:right w:val="none" w:sz="0" w:space="0" w:color="auto"/>
          </w:divBdr>
        </w:div>
        <w:div w:id="1773017081">
          <w:marLeft w:val="0"/>
          <w:marRight w:val="0"/>
          <w:marTop w:val="101"/>
          <w:marBottom w:val="101"/>
          <w:divBdr>
            <w:top w:val="none" w:sz="0" w:space="0" w:color="auto"/>
            <w:left w:val="none" w:sz="0" w:space="0" w:color="auto"/>
            <w:bottom w:val="none" w:sz="0" w:space="0" w:color="auto"/>
            <w:right w:val="none" w:sz="0" w:space="0" w:color="auto"/>
          </w:divBdr>
        </w:div>
        <w:div w:id="883447940">
          <w:marLeft w:val="0"/>
          <w:marRight w:val="0"/>
          <w:marTop w:val="0"/>
          <w:marBottom w:val="101"/>
          <w:divBdr>
            <w:top w:val="none" w:sz="0" w:space="0" w:color="auto"/>
            <w:left w:val="none" w:sz="0" w:space="0" w:color="auto"/>
            <w:bottom w:val="none" w:sz="0" w:space="0" w:color="auto"/>
            <w:right w:val="none" w:sz="0" w:space="0" w:color="auto"/>
          </w:divBdr>
        </w:div>
        <w:div w:id="1550799779">
          <w:marLeft w:val="0"/>
          <w:marRight w:val="0"/>
          <w:marTop w:val="0"/>
          <w:marBottom w:val="101"/>
          <w:divBdr>
            <w:top w:val="none" w:sz="0" w:space="0" w:color="auto"/>
            <w:left w:val="none" w:sz="0" w:space="0" w:color="auto"/>
            <w:bottom w:val="none" w:sz="0" w:space="0" w:color="auto"/>
            <w:right w:val="none" w:sz="0" w:space="0" w:color="auto"/>
          </w:divBdr>
        </w:div>
        <w:div w:id="1032459714">
          <w:marLeft w:val="0"/>
          <w:marRight w:val="0"/>
          <w:marTop w:val="0"/>
          <w:marBottom w:val="101"/>
          <w:divBdr>
            <w:top w:val="none" w:sz="0" w:space="0" w:color="auto"/>
            <w:left w:val="none" w:sz="0" w:space="0" w:color="auto"/>
            <w:bottom w:val="none" w:sz="0" w:space="0" w:color="auto"/>
            <w:right w:val="none" w:sz="0" w:space="0" w:color="auto"/>
          </w:divBdr>
        </w:div>
        <w:div w:id="899444812">
          <w:marLeft w:val="0"/>
          <w:marRight w:val="0"/>
          <w:marTop w:val="0"/>
          <w:marBottom w:val="101"/>
          <w:divBdr>
            <w:top w:val="none" w:sz="0" w:space="0" w:color="auto"/>
            <w:left w:val="none" w:sz="0" w:space="0" w:color="auto"/>
            <w:bottom w:val="none" w:sz="0" w:space="0" w:color="auto"/>
            <w:right w:val="none" w:sz="0" w:space="0" w:color="auto"/>
          </w:divBdr>
        </w:div>
        <w:div w:id="970476789">
          <w:marLeft w:val="0"/>
          <w:marRight w:val="0"/>
          <w:marTop w:val="0"/>
          <w:marBottom w:val="101"/>
          <w:divBdr>
            <w:top w:val="none" w:sz="0" w:space="0" w:color="auto"/>
            <w:left w:val="none" w:sz="0" w:space="0" w:color="auto"/>
            <w:bottom w:val="none" w:sz="0" w:space="0" w:color="auto"/>
            <w:right w:val="none" w:sz="0" w:space="0" w:color="auto"/>
          </w:divBdr>
        </w:div>
        <w:div w:id="2067608525">
          <w:marLeft w:val="0"/>
          <w:marRight w:val="0"/>
          <w:marTop w:val="101"/>
          <w:marBottom w:val="101"/>
          <w:divBdr>
            <w:top w:val="none" w:sz="0" w:space="0" w:color="auto"/>
            <w:left w:val="none" w:sz="0" w:space="0" w:color="auto"/>
            <w:bottom w:val="none" w:sz="0" w:space="0" w:color="auto"/>
            <w:right w:val="none" w:sz="0" w:space="0" w:color="auto"/>
          </w:divBdr>
        </w:div>
        <w:div w:id="1275942446">
          <w:marLeft w:val="0"/>
          <w:marRight w:val="0"/>
          <w:marTop w:val="0"/>
          <w:marBottom w:val="101"/>
          <w:divBdr>
            <w:top w:val="none" w:sz="0" w:space="0" w:color="auto"/>
            <w:left w:val="none" w:sz="0" w:space="0" w:color="auto"/>
            <w:bottom w:val="none" w:sz="0" w:space="0" w:color="auto"/>
            <w:right w:val="none" w:sz="0" w:space="0" w:color="auto"/>
          </w:divBdr>
        </w:div>
        <w:div w:id="1311329045">
          <w:marLeft w:val="0"/>
          <w:marRight w:val="0"/>
          <w:marTop w:val="0"/>
          <w:marBottom w:val="101"/>
          <w:divBdr>
            <w:top w:val="none" w:sz="0" w:space="0" w:color="auto"/>
            <w:left w:val="none" w:sz="0" w:space="0" w:color="auto"/>
            <w:bottom w:val="none" w:sz="0" w:space="0" w:color="auto"/>
            <w:right w:val="none" w:sz="0" w:space="0" w:color="auto"/>
          </w:divBdr>
        </w:div>
        <w:div w:id="15153246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sjf2.scjn.gob.mx/detalle/tesis/163067" TargetMode="External"/><Relationship Id="rId3" Type="http://schemas.openxmlformats.org/officeDocument/2006/relationships/hyperlink" Target="https://www.inegi.org.mx/contenidos/saladeprensa/aproposito/2020/Violencia2020_Nal.pdf" TargetMode="External"/><Relationship Id="rId7" Type="http://schemas.openxmlformats.org/officeDocument/2006/relationships/hyperlink" Target="https://www2.scjn.gob.mx/ConsultaTematica/PaginasPub/DetallePub.aspx?AsuntoID=261676" TargetMode="External"/><Relationship Id="rId2" Type="http://schemas.openxmlformats.org/officeDocument/2006/relationships/hyperlink" Target="https://www.conapred.org.mx/index.php?contenido=noticias&amp;id=2568&amp;id_opcion=&amp;op=447" TargetMode="External"/><Relationship Id="rId1" Type="http://schemas.openxmlformats.org/officeDocument/2006/relationships/hyperlink" Target="https://www.endvawnow.org/es/articles/607-ataques-con-cido.html" TargetMode="External"/><Relationship Id="rId6" Type="http://schemas.openxmlformats.org/officeDocument/2006/relationships/hyperlink" Target="https://portalhcd.diputados.gob.mx/LeyesBiblio/PortalWeb/Leyes/Vigentes/PDF/LGAMVLV_010621.pdf" TargetMode="External"/><Relationship Id="rId11" Type="http://schemas.openxmlformats.org/officeDocument/2006/relationships/hyperlink" Target="https://www.corteidh.or.cr/tablas/r37850.pdf" TargetMode="External"/><Relationship Id="rId5" Type="http://schemas.openxmlformats.org/officeDocument/2006/relationships/hyperlink" Target="https://www.ucm.es/data/cont/docs/420-2014-02-07-QUEMADURAS-QUIMICAS-8Enero-2013.pdf" TargetMode="External"/><Relationship Id="rId10" Type="http://schemas.openxmlformats.org/officeDocument/2006/relationships/hyperlink" Target="https://www.conapred.org.mx/index.php?contenido=noticias&amp;id=2568&amp;id_opcion=&amp;op=447" TargetMode="External"/><Relationship Id="rId4" Type="http://schemas.openxmlformats.org/officeDocument/2006/relationships/hyperlink" Target="https://www.asti.org.uk/a-worldwide-problem.html" TargetMode="External"/><Relationship Id="rId9" Type="http://schemas.openxmlformats.org/officeDocument/2006/relationships/hyperlink" Target="http://www.dof.gob.mx/nota_detalle.php?codigo=4815848&amp;fecha=29/05/198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C7D5B-6801-4315-9DD2-C1DAE14A1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12</Pages>
  <Words>3258</Words>
  <Characters>17920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Ortega Cruz</dc:creator>
  <cp:lastModifiedBy>Emir.trujeque</cp:lastModifiedBy>
  <cp:revision>8</cp:revision>
  <cp:lastPrinted>2023-03-08T15:45:00Z</cp:lastPrinted>
  <dcterms:created xsi:type="dcterms:W3CDTF">2023-03-03T20:23:00Z</dcterms:created>
  <dcterms:modified xsi:type="dcterms:W3CDTF">2023-03-08T15:46:00Z</dcterms:modified>
</cp:coreProperties>
</file>